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FA5" w:rsidRPr="009A6FA5" w:rsidRDefault="009A6FA5" w:rsidP="009A6FA5">
      <w:pPr>
        <w:jc w:val="center"/>
        <w:rPr>
          <w:rFonts w:ascii="Verdana" w:hAnsi="Verdana"/>
          <w:b/>
        </w:rPr>
      </w:pPr>
      <w:bookmarkStart w:id="0" w:name="_GoBack"/>
      <w:bookmarkEnd w:id="0"/>
      <w:r w:rsidRPr="009A6FA5">
        <w:rPr>
          <w:rFonts w:ascii="Verdana" w:hAnsi="Verdana"/>
          <w:b/>
        </w:rPr>
        <w:t>CRITERI PER LA DONAZIONE DEL SANGUE</w:t>
      </w:r>
    </w:p>
    <w:p w:rsidR="009A6FA5" w:rsidRPr="009A6FA5" w:rsidRDefault="009A6FA5" w:rsidP="009A6FA5">
      <w:pPr>
        <w:rPr>
          <w:rFonts w:ascii="Verdana" w:hAnsi="Verdana"/>
          <w:b/>
        </w:rPr>
      </w:pPr>
      <w:r w:rsidRPr="009A6FA5">
        <w:rPr>
          <w:rFonts w:ascii="Verdana" w:hAnsi="Verdana"/>
          <w:b/>
        </w:rPr>
        <w:t>Il donatore deve:</w:t>
      </w:r>
    </w:p>
    <w:p w:rsidR="009A6FA5" w:rsidRPr="009A6FA5" w:rsidRDefault="009A6FA5" w:rsidP="009A6FA5">
      <w:pPr>
        <w:rPr>
          <w:rFonts w:ascii="Verdana" w:hAnsi="Verdana"/>
        </w:rPr>
      </w:pPr>
      <w:r w:rsidRPr="009A6FA5">
        <w:rPr>
          <w:rFonts w:ascii="Verdana" w:hAnsi="Verdana"/>
        </w:rPr>
        <w:t>• avere un'età compresa fra i 18 e i 65 anni</w:t>
      </w:r>
    </w:p>
    <w:p w:rsidR="009A6FA5" w:rsidRPr="009A6FA5" w:rsidRDefault="009A6FA5" w:rsidP="009A6FA5">
      <w:pPr>
        <w:rPr>
          <w:rFonts w:ascii="Verdana" w:hAnsi="Verdana"/>
        </w:rPr>
      </w:pPr>
      <w:r w:rsidRPr="009A6FA5">
        <w:rPr>
          <w:rFonts w:ascii="Verdana" w:hAnsi="Verdana"/>
        </w:rPr>
        <w:t>• peso non inferiore a 50 kg</w:t>
      </w:r>
    </w:p>
    <w:p w:rsidR="009A6FA5" w:rsidRPr="009A6FA5" w:rsidRDefault="009A6FA5" w:rsidP="009A6FA5">
      <w:pPr>
        <w:rPr>
          <w:rFonts w:ascii="Verdana" w:hAnsi="Verdana"/>
        </w:rPr>
      </w:pPr>
    </w:p>
    <w:p w:rsidR="009A6FA5" w:rsidRPr="009A6FA5" w:rsidRDefault="009A6FA5" w:rsidP="009A6FA5">
      <w:pPr>
        <w:jc w:val="both"/>
        <w:rPr>
          <w:rFonts w:ascii="Verdana" w:hAnsi="Verdana"/>
          <w:i/>
        </w:rPr>
      </w:pPr>
      <w:r w:rsidRPr="009A6FA5">
        <w:rPr>
          <w:rFonts w:ascii="Verdana" w:hAnsi="Verdana"/>
          <w:b/>
          <w:i/>
        </w:rPr>
        <w:t>Soggetti di sesso maschile</w:t>
      </w:r>
      <w:r w:rsidRPr="009A6FA5">
        <w:rPr>
          <w:rFonts w:ascii="Verdana" w:hAnsi="Verdana"/>
          <w:i/>
        </w:rPr>
        <w:t xml:space="preserve"> possono donare fino a 4 volte l'anno con intervalli minimi di 90 giorni</w:t>
      </w:r>
    </w:p>
    <w:p w:rsidR="009A6FA5" w:rsidRPr="009A6FA5" w:rsidRDefault="009A6FA5" w:rsidP="009A6FA5">
      <w:pPr>
        <w:jc w:val="both"/>
        <w:rPr>
          <w:rFonts w:ascii="Verdana" w:hAnsi="Verdana"/>
          <w:i/>
        </w:rPr>
      </w:pPr>
      <w:r w:rsidRPr="009A6FA5">
        <w:rPr>
          <w:rFonts w:ascii="Verdana" w:hAnsi="Verdana"/>
          <w:b/>
          <w:i/>
        </w:rPr>
        <w:t>Soggetti di sesso femminile</w:t>
      </w:r>
      <w:r w:rsidRPr="009A6FA5">
        <w:rPr>
          <w:rFonts w:ascii="Verdana" w:hAnsi="Verdana"/>
          <w:i/>
        </w:rPr>
        <w:t xml:space="preserve">, in età fertile, possono donare fino ad un massimo di 2 volte l'anno, sempre con intervallo minimo di 90 giorni. Inoltre le donne NON possono donare da 2 giorni prima del </w:t>
      </w:r>
      <w:proofErr w:type="spellStart"/>
      <w:r w:rsidRPr="009A6FA5">
        <w:rPr>
          <w:rFonts w:ascii="Verdana" w:hAnsi="Verdana"/>
          <w:i/>
        </w:rPr>
        <w:t>ciclomestruale</w:t>
      </w:r>
      <w:proofErr w:type="spellEnd"/>
      <w:r w:rsidRPr="009A6FA5">
        <w:rPr>
          <w:rFonts w:ascii="Verdana" w:hAnsi="Verdana"/>
          <w:i/>
        </w:rPr>
        <w:t xml:space="preserve"> fino al 5° giorno dopo la fine del ciclo stesso</w:t>
      </w:r>
    </w:p>
    <w:p w:rsidR="009A6FA5" w:rsidRPr="009A6FA5" w:rsidRDefault="009A6FA5" w:rsidP="009A6FA5">
      <w:pPr>
        <w:jc w:val="both"/>
        <w:rPr>
          <w:rFonts w:ascii="Verdana" w:hAnsi="Verdana"/>
          <w:i/>
        </w:rPr>
      </w:pPr>
    </w:p>
    <w:p w:rsidR="009A6FA5" w:rsidRPr="009A6FA5" w:rsidRDefault="009A6FA5" w:rsidP="009A6FA5">
      <w:pPr>
        <w:jc w:val="both"/>
        <w:rPr>
          <w:rFonts w:ascii="Verdana" w:hAnsi="Verdana"/>
          <w:b/>
          <w:u w:val="single"/>
        </w:rPr>
      </w:pPr>
      <w:r w:rsidRPr="009A6FA5">
        <w:rPr>
          <w:rFonts w:ascii="Verdana" w:hAnsi="Verdana"/>
          <w:b/>
          <w:u w:val="single"/>
        </w:rPr>
        <w:t>Criteri di esclusione PERMANENTE</w:t>
      </w:r>
    </w:p>
    <w:p w:rsidR="009A6FA5" w:rsidRPr="009A6FA5" w:rsidRDefault="009A6FA5" w:rsidP="009A6FA5">
      <w:pPr>
        <w:rPr>
          <w:rFonts w:ascii="Verdana" w:hAnsi="Verdana"/>
        </w:rPr>
      </w:pPr>
      <w:r w:rsidRPr="009A6FA5">
        <w:rPr>
          <w:rFonts w:ascii="Verdana" w:hAnsi="Verdana"/>
        </w:rPr>
        <w:t xml:space="preserve">• epatite </w:t>
      </w:r>
      <w:proofErr w:type="gramStart"/>
      <w:r w:rsidRPr="009A6FA5">
        <w:rPr>
          <w:rFonts w:ascii="Verdana" w:hAnsi="Verdana"/>
        </w:rPr>
        <w:t>B ;</w:t>
      </w:r>
      <w:proofErr w:type="gramEnd"/>
      <w:r w:rsidRPr="009A6FA5">
        <w:rPr>
          <w:rFonts w:ascii="Verdana" w:hAnsi="Verdana"/>
        </w:rPr>
        <w:t xml:space="preserve"> epatite C</w:t>
      </w:r>
    </w:p>
    <w:p w:rsidR="009A6FA5" w:rsidRPr="009A6FA5" w:rsidRDefault="009A6FA5" w:rsidP="009A6FA5">
      <w:pPr>
        <w:rPr>
          <w:rFonts w:ascii="Verdana" w:hAnsi="Verdana"/>
        </w:rPr>
      </w:pPr>
      <w:r w:rsidRPr="009A6FA5">
        <w:rPr>
          <w:rFonts w:ascii="Verdana" w:hAnsi="Verdana"/>
        </w:rPr>
        <w:t>• sieropositività per HIV</w:t>
      </w:r>
    </w:p>
    <w:p w:rsidR="009A6FA5" w:rsidRPr="009A6FA5" w:rsidRDefault="009A6FA5" w:rsidP="009A6FA5">
      <w:pPr>
        <w:rPr>
          <w:rFonts w:ascii="Verdana" w:hAnsi="Verdana"/>
        </w:rPr>
      </w:pPr>
      <w:r w:rsidRPr="009A6FA5">
        <w:rPr>
          <w:rFonts w:ascii="Verdana" w:hAnsi="Verdana"/>
        </w:rPr>
        <w:t>• sifilide</w:t>
      </w:r>
    </w:p>
    <w:p w:rsidR="009A6FA5" w:rsidRPr="009A6FA5" w:rsidRDefault="009A6FA5" w:rsidP="009A6FA5">
      <w:pPr>
        <w:rPr>
          <w:rFonts w:ascii="Verdana" w:hAnsi="Verdana"/>
        </w:rPr>
      </w:pPr>
      <w:r w:rsidRPr="009A6FA5">
        <w:rPr>
          <w:rFonts w:ascii="Verdana" w:hAnsi="Verdana"/>
        </w:rPr>
        <w:t>• malattie autoimmuni</w:t>
      </w:r>
    </w:p>
    <w:p w:rsidR="009A6FA5" w:rsidRPr="009A6FA5" w:rsidRDefault="009A6FA5" w:rsidP="009A6FA5">
      <w:pPr>
        <w:rPr>
          <w:rFonts w:ascii="Verdana" w:hAnsi="Verdana"/>
        </w:rPr>
      </w:pPr>
      <w:r w:rsidRPr="009A6FA5">
        <w:rPr>
          <w:rFonts w:ascii="Verdana" w:hAnsi="Verdana"/>
        </w:rPr>
        <w:t>• malattie cardiovascolari</w:t>
      </w:r>
    </w:p>
    <w:p w:rsidR="009A6FA5" w:rsidRPr="009A6FA5" w:rsidRDefault="009A6FA5" w:rsidP="009A6FA5">
      <w:pPr>
        <w:rPr>
          <w:rFonts w:ascii="Verdana" w:hAnsi="Verdana"/>
        </w:rPr>
      </w:pPr>
      <w:r w:rsidRPr="009A6FA5">
        <w:rPr>
          <w:rFonts w:ascii="Verdana" w:hAnsi="Verdana"/>
        </w:rPr>
        <w:t>• malattie organiche del sistema nervoso centrale</w:t>
      </w:r>
    </w:p>
    <w:p w:rsidR="009A6FA5" w:rsidRPr="009A6FA5" w:rsidRDefault="009A6FA5" w:rsidP="009A6FA5">
      <w:pPr>
        <w:rPr>
          <w:rFonts w:ascii="Verdana" w:hAnsi="Verdana"/>
        </w:rPr>
      </w:pPr>
      <w:r w:rsidRPr="009A6FA5">
        <w:rPr>
          <w:rFonts w:ascii="Verdana" w:hAnsi="Verdana"/>
        </w:rPr>
        <w:t>• malattie emorragiche</w:t>
      </w:r>
    </w:p>
    <w:p w:rsidR="009A6FA5" w:rsidRPr="009A6FA5" w:rsidRDefault="009A6FA5" w:rsidP="009A6FA5">
      <w:pPr>
        <w:rPr>
          <w:rFonts w:ascii="Verdana" w:hAnsi="Verdana"/>
        </w:rPr>
      </w:pPr>
      <w:r w:rsidRPr="009A6FA5">
        <w:rPr>
          <w:rFonts w:ascii="Verdana" w:hAnsi="Verdana"/>
        </w:rPr>
        <w:t>• neoplasie o malattie maligne</w:t>
      </w:r>
    </w:p>
    <w:p w:rsidR="009A6FA5" w:rsidRPr="009A6FA5" w:rsidRDefault="009A6FA5" w:rsidP="009A6FA5">
      <w:pPr>
        <w:rPr>
          <w:rFonts w:ascii="Verdana" w:hAnsi="Verdana"/>
        </w:rPr>
      </w:pPr>
      <w:r w:rsidRPr="009A6FA5">
        <w:rPr>
          <w:rFonts w:ascii="Verdana" w:hAnsi="Verdana"/>
        </w:rPr>
        <w:t>• crisi di svenimenti o convulsioni</w:t>
      </w:r>
    </w:p>
    <w:p w:rsidR="009A6FA5" w:rsidRPr="009A6FA5" w:rsidRDefault="009A6FA5" w:rsidP="009A6FA5">
      <w:pPr>
        <w:rPr>
          <w:rFonts w:ascii="Verdana" w:hAnsi="Verdana"/>
        </w:rPr>
      </w:pPr>
      <w:r w:rsidRPr="009A6FA5">
        <w:rPr>
          <w:rFonts w:ascii="Verdana" w:hAnsi="Verdana"/>
        </w:rPr>
        <w:t>• affezioni gastrointestinali, epatiche, urogenitali, ematologiche, immunologiche, renali, metaboliche o</w:t>
      </w:r>
    </w:p>
    <w:p w:rsidR="009A6FA5" w:rsidRPr="009A6FA5" w:rsidRDefault="009A6FA5" w:rsidP="009A6FA5">
      <w:pPr>
        <w:rPr>
          <w:rFonts w:ascii="Verdana" w:hAnsi="Verdana"/>
        </w:rPr>
      </w:pPr>
      <w:r w:rsidRPr="009A6FA5">
        <w:rPr>
          <w:rFonts w:ascii="Verdana" w:hAnsi="Verdana"/>
        </w:rPr>
        <w:t>respiratorie</w:t>
      </w:r>
    </w:p>
    <w:p w:rsidR="009A6FA5" w:rsidRPr="009A6FA5" w:rsidRDefault="009A6FA5" w:rsidP="009A6FA5">
      <w:pPr>
        <w:rPr>
          <w:rFonts w:ascii="Verdana" w:hAnsi="Verdana"/>
        </w:rPr>
      </w:pPr>
      <w:r w:rsidRPr="009A6FA5">
        <w:rPr>
          <w:rFonts w:ascii="Verdana" w:hAnsi="Verdana"/>
        </w:rPr>
        <w:t>• alcoolismo cronico</w:t>
      </w:r>
    </w:p>
    <w:p w:rsidR="009A6FA5" w:rsidRPr="009A6FA5" w:rsidRDefault="009A6FA5" w:rsidP="009A6FA5">
      <w:pPr>
        <w:rPr>
          <w:rFonts w:ascii="Verdana" w:hAnsi="Verdana"/>
        </w:rPr>
      </w:pPr>
      <w:r w:rsidRPr="009A6FA5">
        <w:rPr>
          <w:rFonts w:ascii="Verdana" w:hAnsi="Verdana"/>
        </w:rPr>
        <w:t>• assunzione di sostanze farmacologiche non prescritte (steroidi od ormoni a scopo di culturismo)</w:t>
      </w:r>
    </w:p>
    <w:p w:rsidR="009A6FA5" w:rsidRPr="009A6FA5" w:rsidRDefault="009A6FA5" w:rsidP="009A6FA5">
      <w:pPr>
        <w:rPr>
          <w:rFonts w:ascii="Verdana" w:hAnsi="Verdana"/>
        </w:rPr>
      </w:pPr>
      <w:r w:rsidRPr="009A6FA5">
        <w:rPr>
          <w:rFonts w:ascii="Verdana" w:hAnsi="Verdana"/>
        </w:rPr>
        <w:t>• comportamento sessuale esposto a rischio di contrarre gravi malattie infettive trasmissibili con il sangue</w:t>
      </w:r>
    </w:p>
    <w:p w:rsidR="009A6FA5" w:rsidRPr="00DA155F" w:rsidRDefault="009A6FA5" w:rsidP="009A6FA5">
      <w:pPr>
        <w:spacing w:before="100" w:beforeAutospacing="1" w:after="100" w:afterAutospacing="1"/>
        <w:jc w:val="both"/>
        <w:rPr>
          <w:rFonts w:ascii="Verdana" w:hAnsi="Verdana"/>
          <w:i/>
          <w:color w:val="000000"/>
          <w:u w:val="single"/>
        </w:rPr>
      </w:pPr>
      <w:r w:rsidRPr="009A6FA5">
        <w:rPr>
          <w:rFonts w:ascii="Verdana" w:hAnsi="Verdana"/>
          <w:b/>
          <w:bCs/>
          <w:i/>
          <w:color w:val="000000"/>
          <w:u w:val="single"/>
        </w:rPr>
        <w:t>Raccomandazioni:</w:t>
      </w:r>
      <w:r w:rsidRPr="00DA155F">
        <w:rPr>
          <w:rFonts w:ascii="Verdana" w:hAnsi="Verdana"/>
          <w:i/>
          <w:color w:val="000000"/>
          <w:u w:val="single"/>
        </w:rPr>
        <w:t xml:space="preserve"> </w:t>
      </w:r>
    </w:p>
    <w:p w:rsidR="009A6FA5" w:rsidRPr="00DA155F" w:rsidRDefault="009A6FA5" w:rsidP="009A6FA5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Verdana" w:hAnsi="Verdana"/>
          <w:color w:val="000000"/>
        </w:rPr>
      </w:pPr>
      <w:r w:rsidRPr="00DA155F">
        <w:rPr>
          <w:rFonts w:ascii="Verdana" w:hAnsi="Verdana"/>
          <w:color w:val="000000"/>
        </w:rPr>
        <w:t>indossare indumenti idonei e comodi (la donazione avverrà da sdraiati) e maniche che si possono rimboccare senza stringere troppo il braccio;</w:t>
      </w:r>
      <w:r>
        <w:rPr>
          <w:rFonts w:ascii="Verdana" w:hAnsi="Verdana"/>
          <w:color w:val="000000"/>
        </w:rPr>
        <w:t xml:space="preserve">                        </w:t>
      </w:r>
    </w:p>
    <w:p w:rsidR="009A6FA5" w:rsidRPr="00DA155F" w:rsidRDefault="009A6FA5" w:rsidP="009A6FA5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Verdana" w:hAnsi="Verdana"/>
          <w:b/>
          <w:color w:val="000000"/>
        </w:rPr>
      </w:pPr>
      <w:r w:rsidRPr="009A6FA5">
        <w:rPr>
          <w:rFonts w:ascii="Verdana" w:hAnsi="Verdana"/>
          <w:b/>
          <w:i/>
          <w:iCs/>
          <w:color w:val="000000"/>
          <w:u w:val="single"/>
        </w:rPr>
        <w:t>non è necessario il digiuno</w:t>
      </w:r>
      <w:r w:rsidRPr="00DA155F">
        <w:rPr>
          <w:rFonts w:ascii="Verdana" w:hAnsi="Verdana"/>
          <w:b/>
          <w:color w:val="000000"/>
        </w:rPr>
        <w:t xml:space="preserve">, è consentito prendere caffè, thè, frutta, spremute anche con alcune fette biscottate. </w:t>
      </w:r>
      <w:r w:rsidRPr="00DA155F">
        <w:rPr>
          <w:rFonts w:ascii="Verdana" w:hAnsi="Verdana"/>
          <w:b/>
          <w:color w:val="000000"/>
          <w:u w:val="single"/>
        </w:rPr>
        <w:t>Sono</w:t>
      </w:r>
      <w:r w:rsidRPr="009A6FA5">
        <w:rPr>
          <w:rFonts w:ascii="Verdana" w:hAnsi="Verdana"/>
          <w:b/>
          <w:color w:val="000000"/>
          <w:u w:val="single"/>
        </w:rPr>
        <w:t xml:space="preserve"> da evitare latte e cibi solidi. </w:t>
      </w:r>
      <w:r w:rsidRPr="00DA155F">
        <w:rPr>
          <w:rFonts w:ascii="Verdana" w:hAnsi="Verdana"/>
          <w:b/>
          <w:color w:val="000000"/>
        </w:rPr>
        <w:t xml:space="preserve">La sera precedente la donazione, è consigliabile un pasto normale senza abuso di bevande alcoliche o eccessi alimentari. Ciò consentirà di evitare che alcuni valori negli esami di controllo in occasione della donazione possano risultare alterati; </w:t>
      </w:r>
    </w:p>
    <w:p w:rsidR="009A6FA5" w:rsidRPr="009A6FA5" w:rsidRDefault="009A6FA5" w:rsidP="009A6FA5"/>
    <w:p w:rsidR="00013B9B" w:rsidRPr="009A6FA5" w:rsidRDefault="00013B9B" w:rsidP="009A6FA5"/>
    <w:sectPr w:rsidR="00013B9B" w:rsidRPr="009A6FA5" w:rsidSect="00C329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1134" w:bottom="1134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4865" w:rsidRDefault="00614865" w:rsidP="00185EC0">
      <w:r>
        <w:separator/>
      </w:r>
    </w:p>
  </w:endnote>
  <w:endnote w:type="continuationSeparator" w:id="0">
    <w:p w:rsidR="00614865" w:rsidRDefault="00614865" w:rsidP="00185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669" w:rsidRDefault="0061166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669" w:rsidRDefault="00611669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669" w:rsidRDefault="0061166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4865" w:rsidRDefault="00614865" w:rsidP="00185EC0">
      <w:r>
        <w:separator/>
      </w:r>
    </w:p>
  </w:footnote>
  <w:footnote w:type="continuationSeparator" w:id="0">
    <w:p w:rsidR="00614865" w:rsidRDefault="00614865" w:rsidP="00185E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EC0" w:rsidRDefault="00614865">
    <w:pPr>
      <w:pStyle w:val="Intestazione"/>
    </w:pPr>
    <w:r>
      <w:rPr>
        <w:noProof/>
        <w:lang w:eastAsia="it-I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0367286" o:spid="_x0000_s2065" type="#_x0000_t75" style="position:absolute;margin-left:0;margin-top:0;width:565.5pt;height:799.8pt;z-index:-251655168;mso-position-horizontal:center;mso-position-horizontal-relative:margin;mso-position-vertical:center;mso-position-vertical-relative:margin" o:allowincell="f">
          <v:imagedata r:id="rId1" o:title="carta intestata PTV"/>
          <w10:wrap anchorx="margin" anchory="margin"/>
        </v:shape>
      </w:pict>
    </w:r>
    <w:r w:rsidR="00EA1D4D">
      <w:rPr>
        <w:noProof/>
        <w:lang w:eastAsia="it-IT"/>
      </w:rPr>
      <w:drawing>
        <wp:anchor distT="0" distB="0" distL="114300" distR="114300" simplePos="0" relativeHeight="251659264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181850" cy="10157460"/>
          <wp:effectExtent l="0" t="0" r="0" b="0"/>
          <wp:wrapNone/>
          <wp:docPr id="1" name="Immagine 1" descr="carta intestata PT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arta intestata PTV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1850" cy="101574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669" w:rsidRDefault="00614865">
    <w:pPr>
      <w:pStyle w:val="Intestazione"/>
    </w:pPr>
    <w:r>
      <w:rPr>
        <w:noProof/>
        <w:lang w:eastAsia="it-I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0367287" o:spid="_x0000_s2066" type="#_x0000_t75" style="position:absolute;margin-left:-56.8pt;margin-top:-98.95pt;width:594.15pt;height:840.3pt;z-index:-251654144;mso-position-horizontal-relative:margin;mso-position-vertical-relative:margin" o:allowincell="f">
          <v:imagedata r:id="rId1" o:title="carta intestata PTV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669" w:rsidRDefault="00614865">
    <w:pPr>
      <w:pStyle w:val="Intestazione"/>
    </w:pPr>
    <w:r>
      <w:rPr>
        <w:noProof/>
        <w:lang w:eastAsia="it-I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0367285" o:spid="_x0000_s2064" type="#_x0000_t75" style="position:absolute;margin-left:0;margin-top:0;width:565.5pt;height:799.8pt;z-index:-251656192;mso-position-horizontal:center;mso-position-horizontal-relative:margin;mso-position-vertical:center;mso-position-vertical-relative:margin" o:allowincell="f">
          <v:imagedata r:id="rId1" o:title="carta intestata PTV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5C0CF5"/>
    <w:multiLevelType w:val="multilevel"/>
    <w:tmpl w:val="83ACC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C72369"/>
    <w:multiLevelType w:val="hybridMultilevel"/>
    <w:tmpl w:val="4044C1B4"/>
    <w:lvl w:ilvl="0" w:tplc="B2CCB480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48471EA0"/>
    <w:multiLevelType w:val="hybridMultilevel"/>
    <w:tmpl w:val="11788818"/>
    <w:lvl w:ilvl="0" w:tplc="0410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EC0"/>
    <w:rsid w:val="00013B9B"/>
    <w:rsid w:val="00162F79"/>
    <w:rsid w:val="00185EC0"/>
    <w:rsid w:val="001C2CF8"/>
    <w:rsid w:val="002B7B6E"/>
    <w:rsid w:val="003940ED"/>
    <w:rsid w:val="00401FAC"/>
    <w:rsid w:val="004A3C4A"/>
    <w:rsid w:val="00611669"/>
    <w:rsid w:val="00614865"/>
    <w:rsid w:val="00647166"/>
    <w:rsid w:val="0069209E"/>
    <w:rsid w:val="0077064A"/>
    <w:rsid w:val="00770E86"/>
    <w:rsid w:val="007C39B6"/>
    <w:rsid w:val="007E4D2B"/>
    <w:rsid w:val="00800B38"/>
    <w:rsid w:val="00814E49"/>
    <w:rsid w:val="00820F88"/>
    <w:rsid w:val="008839C6"/>
    <w:rsid w:val="009623CA"/>
    <w:rsid w:val="009A35DE"/>
    <w:rsid w:val="009A6B7E"/>
    <w:rsid w:val="009A6FA5"/>
    <w:rsid w:val="00A4496F"/>
    <w:rsid w:val="00A9281A"/>
    <w:rsid w:val="00AF37F5"/>
    <w:rsid w:val="00B07FC3"/>
    <w:rsid w:val="00BC7666"/>
    <w:rsid w:val="00C26724"/>
    <w:rsid w:val="00C329A8"/>
    <w:rsid w:val="00D34681"/>
    <w:rsid w:val="00D54532"/>
    <w:rsid w:val="00EA1D4D"/>
    <w:rsid w:val="00F20EFA"/>
    <w:rsid w:val="00F74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,"/>
  <w:listSeparator w:val=";"/>
  <w15:chartTrackingRefBased/>
  <w15:docId w15:val="{7C335AFE-D47A-48B5-9C8D-4BDB4AD3A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A1D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85EC0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85EC0"/>
  </w:style>
  <w:style w:type="paragraph" w:styleId="Pidipagina">
    <w:name w:val="footer"/>
    <w:basedOn w:val="Normale"/>
    <w:link w:val="PidipaginaCarattere"/>
    <w:uiPriority w:val="99"/>
    <w:unhideWhenUsed/>
    <w:rsid w:val="00185EC0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85EC0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85EC0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85EC0"/>
    <w:rPr>
      <w:rFonts w:ascii="Segoe UI" w:hAnsi="Segoe UI" w:cs="Segoe UI"/>
      <w:sz w:val="18"/>
      <w:szCs w:val="18"/>
    </w:rPr>
  </w:style>
  <w:style w:type="paragraph" w:styleId="NormaleWeb">
    <w:name w:val="Normal (Web)"/>
    <w:basedOn w:val="Normale"/>
    <w:uiPriority w:val="99"/>
    <w:semiHidden/>
    <w:unhideWhenUsed/>
    <w:rsid w:val="00C329A8"/>
    <w:pPr>
      <w:spacing w:before="100" w:beforeAutospacing="1" w:after="100" w:afterAutospacing="1"/>
    </w:pPr>
  </w:style>
  <w:style w:type="paragraph" w:styleId="Rientrocorpodeltesto">
    <w:name w:val="Body Text Indent"/>
    <w:basedOn w:val="Normale"/>
    <w:link w:val="RientrocorpodeltestoCarattere"/>
    <w:rsid w:val="00EA1D4D"/>
    <w:pPr>
      <w:spacing w:line="360" w:lineRule="auto"/>
      <w:ind w:firstLine="709"/>
    </w:pPr>
    <w:rPr>
      <w:rFonts w:eastAsia="Arial Unicode MS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EA1D4D"/>
    <w:rPr>
      <w:rFonts w:ascii="Times New Roman" w:eastAsia="Arial Unicode MS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820F88"/>
    <w:rPr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820F88"/>
    <w:rPr>
      <w:b/>
      <w:bCs/>
    </w:rPr>
  </w:style>
  <w:style w:type="paragraph" w:styleId="Paragrafoelenco">
    <w:name w:val="List Paragraph"/>
    <w:basedOn w:val="Normale"/>
    <w:uiPriority w:val="34"/>
    <w:qFormat/>
    <w:rsid w:val="00A9281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AF37F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31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2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35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393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084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0779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0173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126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7189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63817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0438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428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72630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84818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6237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52230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78758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74917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C6D043-8CD1-4A1C-A79B-F69D34AA2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Santinelli</dc:creator>
  <cp:keywords/>
  <dc:description/>
  <cp:lastModifiedBy>Giorgio Di Giorgio</cp:lastModifiedBy>
  <cp:revision>2</cp:revision>
  <cp:lastPrinted>2019-12-30T12:02:00Z</cp:lastPrinted>
  <dcterms:created xsi:type="dcterms:W3CDTF">2020-02-26T17:31:00Z</dcterms:created>
  <dcterms:modified xsi:type="dcterms:W3CDTF">2020-02-26T17:31:00Z</dcterms:modified>
</cp:coreProperties>
</file>