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E9C908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D1338" w:rsidRPr="002D1338">
        <w:rPr>
          <w:rFonts w:ascii="Cambria" w:eastAsia="Times New Roman" w:hAnsi="Cambria" w:cs="Times New Roman"/>
          <w:spacing w:val="-6"/>
          <w:sz w:val="25"/>
          <w:szCs w:val="25"/>
        </w:rPr>
        <w:t>Decreto Rettorale n. 1105 del 26/04/2023</w:t>
      </w:r>
      <w:r w:rsidR="002D133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94D61"/>
    <w:rsid w:val="002D1338"/>
    <w:rsid w:val="002F28CF"/>
    <w:rsid w:val="00390809"/>
    <w:rsid w:val="004C5BF1"/>
    <w:rsid w:val="00767C41"/>
    <w:rsid w:val="00982676"/>
    <w:rsid w:val="00CB286A"/>
    <w:rsid w:val="00D30FCE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2023-03-26T20:46:00Z</dcterms:created>
  <dcterms:modified xsi:type="dcterms:W3CDTF">2023-04-26T12:43:00Z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