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07CA4042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261BC1" w:rsidRPr="00261BC1">
        <w:rPr>
          <w:rFonts w:ascii="Cambria" w:eastAsia="Times New Roman" w:hAnsi="Cambria" w:cs="Times New Roman"/>
          <w:spacing w:val="-6"/>
          <w:sz w:val="25"/>
          <w:szCs w:val="25"/>
        </w:rPr>
        <w:t>Decreto Rettorale n. 1269 del 15/05/2023</w:t>
      </w:r>
      <w:bookmarkStart w:id="5" w:name="_GoBack"/>
      <w:bookmarkEnd w:id="5"/>
      <w:r w:rsidR="00B1590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61BC1"/>
    <w:rsid w:val="002F28CF"/>
    <w:rsid w:val="00302951"/>
    <w:rsid w:val="00390809"/>
    <w:rsid w:val="004C5BF1"/>
    <w:rsid w:val="006552FC"/>
    <w:rsid w:val="0066054C"/>
    <w:rsid w:val="00767C41"/>
    <w:rsid w:val="00982676"/>
    <w:rsid w:val="00B1590B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E5FD2B16-A747-4770-9BEF-2225D27114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2023-05-15T08:57:00Z</dcterms:created>
  <dcterms:modified xsi:type="dcterms:W3CDTF">2023-05-15T08:58:00Z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