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9AEA8D3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3B16B5" w:rsidRPr="003B16B5">
        <w:rPr>
          <w:rFonts w:ascii="Cambria" w:eastAsia="Times New Roman" w:hAnsi="Cambria" w:cs="Times New Roman"/>
          <w:spacing w:val="-6"/>
          <w:sz w:val="25"/>
          <w:szCs w:val="25"/>
        </w:rPr>
        <w:t>Decreto Rettorale n. 1554 del 15/06/2023</w:t>
      </w:r>
      <w:bookmarkStart w:id="5" w:name="_GoBack"/>
      <w:bookmarkEnd w:id="5"/>
      <w:r w:rsidR="00B159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3B16B5"/>
    <w:rsid w:val="004C5BF1"/>
    <w:rsid w:val="006552FC"/>
    <w:rsid w:val="0066054C"/>
    <w:rsid w:val="006645D1"/>
    <w:rsid w:val="00767C41"/>
    <w:rsid w:val="00982676"/>
    <w:rsid w:val="00B1590B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2023-06-15T18:57:00Z</dcterms:created>
  <dcterms:modified xsi:type="dcterms:W3CDTF">2023-06-15T18:57:00Z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