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623918" w14:textId="77777777" w:rsidR="0063696D" w:rsidRDefault="0063696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3C8C172F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52913DC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soli </w:t>
      </w: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titoli, per l’assegnazione 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>di tre borse post-laurea, della durata di otto mesi ciascuna, per lo svolgimento di attività di ricerca presso il Dipartimento di Fisica, inerente al Progetto: “</w:t>
      </w:r>
      <w:r w:rsidR="00C4669A" w:rsidRPr="0063696D">
        <w:rPr>
          <w:rFonts w:ascii="Cambria" w:eastAsia="Times New Roman" w:hAnsi="Cambria" w:cs="Times New Roman"/>
          <w:i/>
          <w:spacing w:val="-8"/>
          <w:sz w:val="25"/>
          <w:szCs w:val="25"/>
        </w:rPr>
        <w:t>Agricoltura di precisione tramite tecniche, ove necessario anche Al,  non distruttive di monitoraggio dell'emissione di luce di fluorescenza  per applicazioni spaziali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>”, finanziate nell’ambito del progetto dell’Agenzia Spaziale Italiana - MicroX2 - 2020-31-HH.0 (CUP: F79C20000300005) - Responsabile Scientifico Prof. Livio NARICI</w:t>
      </w:r>
      <w:r w:rsidR="0031766A"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 n</w:t>
      </w:r>
      <w:r w:rsidR="00B3126F" w:rsidRPr="0063696D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726 </w:t>
      </w: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>27</w:t>
      </w: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>02</w:t>
      </w:r>
      <w:r w:rsidRPr="0063696D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r w:rsidR="00C4669A" w:rsidRPr="0063696D">
        <w:rPr>
          <w:rFonts w:ascii="Cambria" w:eastAsia="Times New Roman" w:hAnsi="Cambria" w:cs="Times New Roman"/>
          <w:spacing w:val="-8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36BC8C" w14:textId="77777777" w:rsidR="0063696D" w:rsidRDefault="0063696D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45F48FA0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32252F1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3696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2059E05" w14:textId="77777777" w:rsidR="0063696D" w:rsidRDefault="007A3BDD" w:rsidP="0063696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3696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4E2A90E6" w:rsidR="00E14E11" w:rsidRPr="0063696D" w:rsidRDefault="00B3126F" w:rsidP="0063696D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3696D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2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  <w:bookmarkStart w:id="3" w:name="_GoBack"/>
      <w:bookmarkEnd w:id="3"/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3696D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4669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a8930660-cbca-4557-8af8-8732498a4714"/>
    <ds:schemaRef ds:uri="http://schemas.microsoft.com/office/infopath/2007/PartnerControls"/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086C37-6054-473F-9664-6107FE9C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2024-02-27T12:59:00Z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