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1C69291" w:rsidR="007A3BDD" w:rsidRPr="007A3BDD" w:rsidRDefault="007A3BDD" w:rsidP="00E53F0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E53F05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E53F05">
        <w:rPr>
          <w:rFonts w:ascii="Cambria" w:eastAsia="Times New Roman" w:hAnsi="Cambria" w:cs="Times New Roman"/>
          <w:spacing w:val="-6"/>
          <w:sz w:val="25"/>
          <w:szCs w:val="25"/>
        </w:rPr>
        <w:t>tre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E53F05">
        <w:rPr>
          <w:rFonts w:ascii="Cambria" w:eastAsia="Times New Roman" w:hAnsi="Cambria" w:cs="Times New Roman"/>
          <w:spacing w:val="-6"/>
          <w:sz w:val="25"/>
          <w:szCs w:val="25"/>
        </w:rPr>
        <w:t xml:space="preserve"> Ingegneria Civile e Ingegneria Elettronica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E53F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53F05" w:rsidRPr="00E53F05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E53F05" w:rsidRPr="00E53F05">
        <w:rPr>
          <w:rFonts w:ascii="Cambria" w:eastAsia="Times New Roman" w:hAnsi="Cambria" w:cs="Times New Roman"/>
          <w:i/>
          <w:spacing w:val="-6"/>
          <w:sz w:val="25"/>
          <w:szCs w:val="25"/>
        </w:rPr>
        <w:t>Un approccio integrato alla mitigazione del rischio da frana: prova alla scala reale e modellazione numerica avanzata (PROMISE)</w:t>
      </w:r>
      <w:r w:rsidR="00E53F05" w:rsidRPr="00E53F05">
        <w:rPr>
          <w:rFonts w:ascii="Cambria" w:eastAsia="Times New Roman" w:hAnsi="Cambria" w:cs="Times New Roman"/>
          <w:spacing w:val="-6"/>
          <w:sz w:val="25"/>
          <w:szCs w:val="25"/>
        </w:rPr>
        <w:t>” (CUP: E53D23003440006), finanziato nell’ambito del Bando PRIN 2022 - 2022KL5792_002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53F05">
        <w:rPr>
          <w:rFonts w:ascii="Cambria" w:eastAsia="Times New Roman" w:hAnsi="Cambria" w:cs="Times New Roman"/>
          <w:spacing w:val="-6"/>
          <w:sz w:val="25"/>
          <w:szCs w:val="25"/>
        </w:rPr>
        <w:t xml:space="preserve">1295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53F05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53F05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53F0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D.M. 03/11/1999 n. 509 (art.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>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53F05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FCC107-53C7-496E-B0D2-C4CC4CE4F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2024-04-18T08:05:00Z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