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7279356" w:rsidR="007A3BDD" w:rsidRPr="007A3BDD" w:rsidRDefault="007A3BDD" w:rsidP="0071009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due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bors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quattro mesi ciascuna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 Biologia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10092" w:rsidRPr="00710092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710092" w:rsidRPr="00710092">
        <w:rPr>
          <w:rFonts w:ascii="Cambria" w:eastAsia="Times New Roman" w:hAnsi="Cambria" w:cs="Times New Roman"/>
          <w:i/>
          <w:spacing w:val="-6"/>
          <w:sz w:val="25"/>
          <w:szCs w:val="25"/>
        </w:rPr>
        <w:t>Roadmap verso il futuro piano di gestione a lungo termine della CGPM per l’anguilla europea nel Mediterraneo</w:t>
      </w:r>
      <w:r w:rsidR="00710092" w:rsidRP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E83C24001110007), finanziato dalla FOOD AND AGRICULTURE ORGANIZATION OF THE UNITED NATIONS 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–</w:t>
      </w:r>
      <w:r w:rsidR="00710092" w:rsidRP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 FAO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1650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1009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10092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880A21-C9AF-4C59-84F2-B3B7B9EA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2024-05-23T08:55:00Z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