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BF6579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31766A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una 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borsa post-laurea, della durata di dodici mesi, per lo svolgimento di attività di ricerca presso il Dipartimento di Storia, Patrimonio Culturale, Formazione e Società, inerente al Progetto: “</w:t>
      </w:r>
      <w:r w:rsidR="005B565F" w:rsidRPr="005B565F">
        <w:rPr>
          <w:rFonts w:ascii="Cambria" w:eastAsia="Times New Roman" w:hAnsi="Cambria" w:cs="Times New Roman"/>
          <w:i/>
          <w:spacing w:val="-10"/>
          <w:sz w:val="25"/>
          <w:szCs w:val="25"/>
        </w:rPr>
        <w:t>Stato di salute del suolo tra degrado e consumo: analisi comparativa delle regioni italiane nel quadro delle politiche dell’Unione Europea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”- (CUP: E87G23000460005), finanziato dall’ISPRA - Istituto Superiore per la Protezione e la Ricerca Ambientale  - Responsabile scientifico Prof. Giuseppe BETTONI</w:t>
      </w:r>
      <w:r w:rsidR="0031766A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5B565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2500 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31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07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5B565F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0" w:name="_GoBack"/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5B565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bookmarkEnd w:id="0"/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B56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BC9556-D8B2-4622-BE4C-7653C178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2024-08-02T10:17:00Z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