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ECFC500" w14:textId="002C831C" w:rsidR="00C93F97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C93F97">
        <w:rPr>
          <w:rFonts w:ascii="Cambria" w:eastAsia="Times New Roman" w:hAnsi="Cambria" w:cs="Times New Roman"/>
          <w:spacing w:val="-6"/>
          <w:sz w:val="25"/>
          <w:szCs w:val="25"/>
        </w:rPr>
        <w:t xml:space="preserve"> sei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93F9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93F97" w:rsidRPr="00C93F97">
        <w:rPr>
          <w:rFonts w:ascii="Cambria" w:eastAsia="Times New Roman" w:hAnsi="Cambria" w:cs="Times New Roman"/>
          <w:spacing w:val="-6"/>
          <w:sz w:val="25"/>
          <w:szCs w:val="25"/>
        </w:rPr>
        <w:t>Management e Diritto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C93F97" w:rsidRPr="00C93F97">
        <w:rPr>
          <w:rFonts w:ascii="Cambria" w:eastAsia="Times New Roman" w:hAnsi="Cambria" w:cs="Times New Roman"/>
          <w:spacing w:val="-6"/>
          <w:sz w:val="25"/>
          <w:szCs w:val="25"/>
        </w:rPr>
        <w:t>“Tassazione e finanza pubblica nella transizione verso uno sviluppo economico sostenibile” (CUP: E53D23021220001), Responsabile Scientifico Prof. Valerio FICARI, finanziato nell’ambito del PRIN 2022 PNRR - P20229KAX2_001</w:t>
      </w:r>
      <w:r w:rsidR="00C93F97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Start w:id="0" w:name="_GoBack"/>
      <w:bookmarkEnd w:id="0"/>
    </w:p>
    <w:p w14:paraId="08C901CD" w14:textId="77777777" w:rsidR="007A3BDD" w:rsidRPr="007A3BDD" w:rsidRDefault="007A3BDD" w:rsidP="00C93F9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93F9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331B12-4EFE-4A38-9A27-43F0F26A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2024-09-10T11:52:00Z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