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B54C6B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acy di cui all’art. 14: </w:t>
      </w:r>
      <w:r w:rsidRPr="00430F6F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430F6F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430F6F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E00016" w:rsidRPr="00430F6F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B238E6" w:rsidRPr="00430F6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430F6F" w:rsidRPr="00430F6F">
        <w:rPr>
          <w:rFonts w:ascii="Cambria" w:eastAsia="Times New Roman" w:hAnsi="Cambria" w:cs="Times New Roman"/>
          <w:spacing w:val="-10"/>
          <w:sz w:val="25"/>
          <w:szCs w:val="25"/>
        </w:rPr>
        <w:t>3600 dell’11/11/2024</w:t>
      </w:r>
      <w:r w:rsidR="00430F6F" w:rsidRPr="00430F6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0F6F"/>
    <w:rsid w:val="0053646A"/>
    <w:rsid w:val="006A633E"/>
    <w:rsid w:val="0082016D"/>
    <w:rsid w:val="008C493E"/>
    <w:rsid w:val="008D5F53"/>
    <w:rsid w:val="00982676"/>
    <w:rsid w:val="00B238E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B2BA8F-982F-473D-922A-6F3DE7E05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2024-10-24T13:13:00Z</dcterms:created>
  <dcterms:modified xsi:type="dcterms:W3CDTF">2024-11-11T13:57:00Z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