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12F4CDB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borsa post-laurea, della durata di dodici mesi, per lo svolgimento di attività di ricerca presso il Dipartimento di Biomedicina e Prevenzione, inerente al Progetto: “</w:t>
      </w:r>
      <w:r w:rsidR="0079220E" w:rsidRPr="005B00B6">
        <w:rPr>
          <w:rFonts w:ascii="Cambria" w:eastAsia="Times New Roman" w:hAnsi="Cambria" w:cs="Times New Roman"/>
          <w:i/>
          <w:spacing w:val="-12"/>
          <w:sz w:val="25"/>
          <w:szCs w:val="25"/>
        </w:rPr>
        <w:t>Valutazione delle opacità lenticolari negli operatori sanitari esposti a radiazioni ionizzanti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” (CUP: E87G24000490007),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932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03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12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6AC5DAB-A9BB-45A2-A3C8-9C74C36F0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2024-12-03T11:14:00Z</dcterms:created>
  <dcterms:modified xsi:type="dcterms:W3CDTF">2024-12-03T11:14:00Z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