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3D6675C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D02CA9" w:rsidRPr="00D02CA9">
        <w:t xml:space="preserve"> </w:t>
      </w:r>
      <w:r w:rsidR="00D02CA9" w:rsidRPr="00D02CA9">
        <w:rPr>
          <w:rFonts w:ascii="Cambria" w:eastAsia="Times New Roman" w:hAnsi="Cambria" w:cs="Times New Roman"/>
          <w:spacing w:val="-6"/>
          <w:sz w:val="25"/>
          <w:szCs w:val="25"/>
        </w:rPr>
        <w:t>3931 del 03/1</w:t>
      </w:r>
      <w:r w:rsidR="00D02CA9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r w:rsidR="00D02CA9" w:rsidRPr="00D02CA9">
        <w:rPr>
          <w:rFonts w:ascii="Cambria" w:eastAsia="Times New Roman" w:hAnsi="Cambria" w:cs="Times New Roman"/>
          <w:spacing w:val="-6"/>
          <w:sz w:val="25"/>
          <w:szCs w:val="25"/>
        </w:rPr>
        <w:t>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selezione pubblica e di avere conoscenza e consapevolezza delle finalità e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D02CA9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2024-12-03T12:23:00Z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