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DCC2B2" w14:textId="7777777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F3FDB9B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della durata di sei mesi, per lo svolgimento di attività di ricerca da svolgersi presso il Dipartimento di Biomedicina e Prevenzione, inerente al Progetto: “</w:t>
      </w:r>
      <w:r w:rsidR="002753F2" w:rsidRPr="002753F2">
        <w:rPr>
          <w:rFonts w:ascii="Cambria" w:eastAsia="Times New Roman" w:hAnsi="Cambria" w:cs="Times New Roman"/>
          <w:i/>
          <w:spacing w:val="-6"/>
          <w:sz w:val="25"/>
          <w:szCs w:val="25"/>
        </w:rPr>
        <w:t>Studio molecolare mediante NGS delle leucemie acute mieloidi ad alto rischio</w:t>
      </w:r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” (CUP: E53D23020030001), nell’ambito del PRIN 2022 PNRR - P2022W25EA_01: “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Clonal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evolution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in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newly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defined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high-risk acute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myeloid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leukemia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and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role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of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leukemic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stem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cells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>as</w:t>
      </w:r>
      <w:proofErr w:type="spellEnd"/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disease reservoir” - Responsabile Scientifica Prof.ssa Maria Teresa VOSO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434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03/02/2025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23A129D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9485367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A2D4E5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EC6849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11B885" w14:textId="77777777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40B70A-5CFA-44C5-9868-56EE39DB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2025-02-03T15:06:00Z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