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8E18B94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presso il Dipartimento di Economia e Finanza, inerente al Progetto: “</w:t>
      </w:r>
      <w:r w:rsidR="002C7BA7" w:rsidRPr="002C7BA7">
        <w:rPr>
          <w:rFonts w:ascii="Cambria" w:eastAsia="Times New Roman" w:hAnsi="Cambria" w:cs="Times New Roman"/>
          <w:i/>
          <w:spacing w:val="-6"/>
          <w:sz w:val="25"/>
          <w:szCs w:val="25"/>
        </w:rPr>
        <w:t>Analisi del flusso informativo dei ricoveri</w:t>
      </w:r>
      <w:r w:rsidR="002C7BA7" w:rsidRPr="002C7BA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2C7BA7" w:rsidRPr="002C7BA7">
        <w:rPr>
          <w:rFonts w:ascii="Cambria" w:eastAsia="Times New Roman" w:hAnsi="Cambria" w:cs="Times New Roman"/>
          <w:i/>
          <w:spacing w:val="-6"/>
          <w:sz w:val="25"/>
          <w:szCs w:val="25"/>
        </w:rPr>
        <w:t>ospedalieri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” (CUP: E83C25001580005), finanziata con fondi dipartimentali, Responsabile Scientifica Prof.ssa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Isabella CARBONARO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1010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DE404" w14:textId="77777777" w:rsidR="003F45B7" w:rsidRDefault="003F45B7" w:rsidP="00546AAF">
      <w:pPr>
        <w:spacing w:after="0" w:line="240" w:lineRule="auto"/>
      </w:pPr>
      <w:r>
        <w:separator/>
      </w:r>
    </w:p>
  </w:endnote>
  <w:endnote w:type="continuationSeparator" w:id="0">
    <w:p w14:paraId="64FD66BC" w14:textId="77777777" w:rsidR="003F45B7" w:rsidRDefault="003F45B7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80F25" w14:textId="77777777" w:rsidR="003F45B7" w:rsidRDefault="003F45B7" w:rsidP="00546AAF">
      <w:pPr>
        <w:spacing w:after="0" w:line="240" w:lineRule="auto"/>
      </w:pPr>
      <w:r>
        <w:separator/>
      </w:r>
    </w:p>
  </w:footnote>
  <w:footnote w:type="continuationSeparator" w:id="0">
    <w:p w14:paraId="4BBFCA42" w14:textId="77777777" w:rsidR="003F45B7" w:rsidRDefault="003F45B7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E93791-0BA4-473F-9B49-1705E108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2025-03-14T14:52:00Z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