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77777777" w:rsidR="00A26E5B" w:rsidRPr="007A3BDD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A6729EC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747E01" w:rsidRPr="00747E01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Biomedicina e Prevenzione, inerente al Progetto: “</w:t>
      </w:r>
      <w:r w:rsidR="00747E01" w:rsidRPr="00747E01">
        <w:rPr>
          <w:rFonts w:ascii="Cambria" w:eastAsia="Times New Roman" w:hAnsi="Cambria" w:cs="Times New Roman"/>
          <w:i/>
          <w:spacing w:val="-6"/>
          <w:sz w:val="25"/>
          <w:szCs w:val="25"/>
        </w:rPr>
        <w:t>Sviluppo di uno strumento integrato basato su analisi genetiche, epigenetiche e cliniche per ottimizzare la diagnosi, la prognosi e il trattamento delle distrofie miotoniche</w:t>
      </w:r>
      <w:r w:rsidR="00747E01" w:rsidRPr="00747E01">
        <w:rPr>
          <w:rFonts w:ascii="Cambria" w:eastAsia="Times New Roman" w:hAnsi="Cambria" w:cs="Times New Roman"/>
          <w:spacing w:val="-6"/>
          <w:sz w:val="25"/>
          <w:szCs w:val="25"/>
        </w:rPr>
        <w:t>” (CUP: E83C25002300005), finanziata con fondi dipartimentali, Responsabile Scientifico Prof. Giuseppe NOVELLI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747E01">
        <w:rPr>
          <w:rFonts w:ascii="Cambria" w:eastAsia="Times New Roman" w:hAnsi="Cambria" w:cs="Times New Roman"/>
          <w:spacing w:val="-6"/>
          <w:sz w:val="25"/>
          <w:szCs w:val="25"/>
        </w:rPr>
        <w:t>564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747E01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747E01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42C02D5C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98E81A" w14:textId="420D2ACD" w:rsidR="00747E01" w:rsidRDefault="00747E01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E2FCFE5" w14:textId="5B473A5D" w:rsidR="00747E01" w:rsidRDefault="00747E01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696E823" w14:textId="76546532" w:rsidR="00747E01" w:rsidRDefault="00747E01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EBB313E" w14:textId="77777777" w:rsidR="00747E01" w:rsidRDefault="00747E01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F1CA6"/>
    <w:rsid w:val="00747E01"/>
    <w:rsid w:val="007610F3"/>
    <w:rsid w:val="007A0B11"/>
    <w:rsid w:val="007A3BDD"/>
    <w:rsid w:val="00825CEA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A5AFA6-2AE1-4C21-8314-9F38B77F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2025-03-18T12:38:00Z</dcterms:created>
  <dcterms:modified xsi:type="dcterms:W3CDTF">2025-05-06T10:52:00Z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