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776B708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della durata di tredici mesi, per lo svolgimento di attività di ricerca presso il Dipartimento di Medicina Sperimentale, inerente al Progetto: “</w:t>
      </w:r>
      <w:bookmarkStart w:id="0" w:name="_GoBack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Analysis of human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endogenous</w:t>
      </w:r>
      <w:proofErr w:type="spellEnd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retroviruses</w:t>
      </w:r>
      <w:proofErr w:type="spellEnd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as</w:t>
      </w:r>
      <w:proofErr w:type="spellEnd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innovative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biomarkers</w:t>
      </w:r>
      <w:proofErr w:type="spellEnd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Parkinson’s</w:t>
      </w:r>
      <w:proofErr w:type="spellEnd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disease and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related</w:t>
      </w:r>
      <w:proofErr w:type="spellEnd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inflammatory</w:t>
      </w:r>
      <w:proofErr w:type="spellEnd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9C401D" w:rsidRPr="009C401D">
        <w:rPr>
          <w:rFonts w:ascii="Cambria" w:eastAsia="Times New Roman" w:hAnsi="Cambria" w:cs="Times New Roman"/>
          <w:i/>
          <w:spacing w:val="-6"/>
          <w:sz w:val="25"/>
          <w:szCs w:val="25"/>
        </w:rPr>
        <w:t>dysfunctions</w:t>
      </w:r>
      <w:bookmarkEnd w:id="0"/>
      <w:proofErr w:type="spellEnd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E53D23018090001), nell’ambito del PRIN 2022 PNRR P20222ZPXF_02: "Innovative </w:t>
      </w:r>
      <w:proofErr w:type="spellStart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clinical</w:t>
      </w:r>
      <w:proofErr w:type="spellEnd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 xml:space="preserve"> and </w:t>
      </w:r>
      <w:proofErr w:type="spellStart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immunological</w:t>
      </w:r>
      <w:proofErr w:type="spellEnd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biomarkers</w:t>
      </w:r>
      <w:proofErr w:type="spellEnd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 xml:space="preserve"> in REM behaviour disorder and </w:t>
      </w:r>
      <w:proofErr w:type="spellStart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Parkinson's</w:t>
      </w:r>
      <w:proofErr w:type="spellEnd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 xml:space="preserve"> disease </w:t>
      </w:r>
      <w:proofErr w:type="spellStart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as</w:t>
      </w:r>
      <w:proofErr w:type="spellEnd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 xml:space="preserve"> targets for an early </w:t>
      </w:r>
      <w:proofErr w:type="spellStart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intervention</w:t>
      </w:r>
      <w:proofErr w:type="spellEnd"/>
      <w:r w:rsidR="009C401D" w:rsidRPr="009C401D">
        <w:rPr>
          <w:rFonts w:ascii="Cambria" w:eastAsia="Times New Roman" w:hAnsi="Cambria" w:cs="Times New Roman"/>
          <w:spacing w:val="-6"/>
          <w:sz w:val="25"/>
          <w:szCs w:val="25"/>
        </w:rPr>
        <w:t>", Responsabile Scientifica Prof.ssa Claudia MATTEUCCI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C0975">
        <w:rPr>
          <w:rFonts w:ascii="Cambria" w:eastAsia="Times New Roman" w:hAnsi="Cambria" w:cs="Times New Roman"/>
          <w:spacing w:val="-6"/>
          <w:sz w:val="25"/>
          <w:szCs w:val="25"/>
        </w:rPr>
        <w:t>223</w:t>
      </w:r>
      <w:r w:rsidR="009C401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3C097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C0975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3C0975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523D392" w14:textId="77777777" w:rsidR="003C0975" w:rsidRDefault="003C0975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4F77A83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C0975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C401D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F38D9A-0118-4441-9DBD-1EA40978C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2025-03-18T12:38:00Z</dcterms:created>
  <dcterms:modified xsi:type="dcterms:W3CDTF">2025-07-04T12:22:00Z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