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86F3BC1" w14:textId="77777777" w:rsidR="00AD772B" w:rsidRDefault="00AD772B">
      <w:pPr>
        <w:spacing w:before="1200"/>
      </w:pPr>
    </w:p>
    <w:p w14:paraId="6D9B1EFB" w14:textId="77777777" w:rsidR="00494289" w:rsidRDefault="00494289">
      <w:pPr>
        <w:spacing w:before="1200"/>
      </w:pPr>
    </w:p>
    <w:p w14:paraId="64B0EF0A" w14:textId="4794B852" w:rsidR="00494289" w:rsidRPr="00494289" w:rsidRDefault="00494289" w:rsidP="00494289">
      <w:pPr>
        <w:spacing w:before="200" w:line="360" w:lineRule="auto"/>
        <w:jc w:val="center"/>
        <w:rPr>
          <w:rFonts w:ascii="Circe" w:hAnsi="Circe"/>
          <w:sz w:val="57"/>
          <w:szCs w:val="21"/>
        </w:rPr>
      </w:pPr>
      <w:r>
        <w:rPr>
          <w:rFonts w:ascii="Circe" w:hAnsi="Circe"/>
          <w:sz w:val="57"/>
          <w:szCs w:val="21"/>
        </w:rPr>
        <w:t>PIANO INTEGRATO DI ATTIVITÀ E ORGANIZZAZIONE</w:t>
      </w:r>
    </w:p>
    <w:p w14:paraId="66A753EE" w14:textId="1C257973" w:rsidR="00AD772B" w:rsidRPr="00494289" w:rsidRDefault="00000000" w:rsidP="00494289">
      <w:pPr>
        <w:spacing w:after="120" w:line="360" w:lineRule="auto"/>
        <w:jc w:val="center"/>
        <w:rPr>
          <w:rFonts w:ascii="Circe" w:hAnsi="Circe"/>
          <w:sz w:val="57"/>
          <w:szCs w:val="21"/>
        </w:rPr>
      </w:pPr>
      <w:r w:rsidRPr="00494289">
        <w:rPr>
          <w:rFonts w:ascii="Circe" w:hAnsi="Circe"/>
          <w:sz w:val="57"/>
          <w:szCs w:val="21"/>
        </w:rPr>
        <w:t>2026 – 2028</w:t>
      </w:r>
    </w:p>
    <w:p w14:paraId="3C4BC0CE" w14:textId="77777777" w:rsidR="00AD772B" w:rsidRPr="00494289" w:rsidRDefault="00000000" w:rsidP="00494289">
      <w:pPr>
        <w:spacing w:after="600" w:line="360" w:lineRule="auto"/>
        <w:jc w:val="center"/>
        <w:rPr>
          <w:rFonts w:ascii="Circe" w:hAnsi="Circe"/>
          <w:sz w:val="57"/>
          <w:szCs w:val="21"/>
        </w:rPr>
      </w:pPr>
      <w:r w:rsidRPr="00494289">
        <w:rPr>
          <w:rFonts w:ascii="Circe" w:hAnsi="Circe"/>
          <w:sz w:val="57"/>
          <w:szCs w:val="21"/>
        </w:rPr>
        <w:t>EXECUTIVE SUMMARY</w:t>
      </w:r>
    </w:p>
    <w:p w14:paraId="41307587" w14:textId="4EBFF37D" w:rsidR="00AD772B" w:rsidRDefault="00A71A52" w:rsidP="00A71A52">
      <w:pPr>
        <w:jc w:val="center"/>
      </w:pPr>
      <w:r>
        <w:rPr>
          <w:rFonts w:ascii="Circe" w:hAnsi="Circe"/>
          <w:noProof/>
          <w:sz w:val="33"/>
          <w:szCs w:val="21"/>
        </w:rPr>
        <w:drawing>
          <wp:inline distT="0" distB="0" distL="0" distR="0" wp14:anchorId="34ECE4DE" wp14:editId="40BDDC93">
            <wp:extent cx="4783364" cy="1133193"/>
            <wp:effectExtent l="12700" t="12700" r="17780" b="1016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43678" cy="11474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br w:type="page"/>
      </w:r>
    </w:p>
    <w:sdt>
      <w:sdtPr>
        <w:rPr>
          <w:sz w:val="28"/>
          <w:szCs w:val="28"/>
        </w:rPr>
        <w:id w:val="1968161434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sdtEndPr>
      <w:sdtContent>
        <w:p w14:paraId="673A11ED" w14:textId="19920F95" w:rsidR="00494289" w:rsidRPr="00494289" w:rsidRDefault="00494289">
          <w:pPr>
            <w:pStyle w:val="Titolosommario"/>
            <w:rPr>
              <w:sz w:val="32"/>
              <w:szCs w:val="32"/>
            </w:rPr>
          </w:pPr>
          <w:r w:rsidRPr="00494289">
            <w:rPr>
              <w:sz w:val="28"/>
              <w:szCs w:val="28"/>
            </w:rPr>
            <w:t>Sommario</w:t>
          </w:r>
        </w:p>
        <w:p w14:paraId="57D8BF60" w14:textId="444A72CB" w:rsidR="00494289" w:rsidRPr="00494289" w:rsidRDefault="00494289">
          <w:pPr>
            <w:pStyle w:val="Sommario1"/>
            <w:tabs>
              <w:tab w:val="right" w:leader="dot" w:pos="9496"/>
            </w:tabs>
            <w:rPr>
              <w:b w:val="0"/>
              <w:bCs w:val="0"/>
              <w:i/>
              <w:iCs/>
              <w:noProof/>
              <w:kern w:val="2"/>
              <w:sz w:val="21"/>
              <w:szCs w:val="21"/>
              <w14:ligatures w14:val="standardContextual"/>
            </w:rPr>
          </w:pPr>
          <w:r w:rsidRPr="00494289">
            <w:rPr>
              <w:b w:val="0"/>
              <w:bCs w:val="0"/>
              <w:sz w:val="21"/>
              <w:szCs w:val="21"/>
            </w:rPr>
            <w:fldChar w:fldCharType="begin"/>
          </w:r>
          <w:r w:rsidRPr="00494289">
            <w:rPr>
              <w:sz w:val="21"/>
              <w:szCs w:val="21"/>
            </w:rPr>
            <w:instrText>TOC \o "1-3" \h \z \u</w:instrText>
          </w:r>
          <w:r w:rsidRPr="00494289">
            <w:rPr>
              <w:b w:val="0"/>
              <w:bCs w:val="0"/>
              <w:sz w:val="21"/>
              <w:szCs w:val="21"/>
            </w:rPr>
            <w:fldChar w:fldCharType="separate"/>
          </w:r>
          <w:hyperlink w:anchor="_Toc233036745" w:history="1">
            <w:r w:rsidRPr="00494289">
              <w:rPr>
                <w:rStyle w:val="Collegamentoipertestuale"/>
                <w:noProof/>
                <w:sz w:val="21"/>
                <w:szCs w:val="21"/>
              </w:rPr>
              <w:t>1.  Premessa e Quadro Normativo</w:t>
            </w:r>
            <w:r w:rsidRPr="00494289">
              <w:rPr>
                <w:noProof/>
                <w:webHidden/>
                <w:sz w:val="21"/>
                <w:szCs w:val="21"/>
              </w:rPr>
              <w:tab/>
            </w:r>
            <w:r w:rsidRPr="00494289">
              <w:rPr>
                <w:noProof/>
                <w:webHidden/>
                <w:sz w:val="21"/>
                <w:szCs w:val="21"/>
              </w:rPr>
              <w:fldChar w:fldCharType="begin"/>
            </w:r>
            <w:r w:rsidRPr="00494289">
              <w:rPr>
                <w:noProof/>
                <w:webHidden/>
                <w:sz w:val="21"/>
                <w:szCs w:val="21"/>
              </w:rPr>
              <w:instrText xml:space="preserve"> PAGEREF _Toc233036745 \h </w:instrText>
            </w:r>
            <w:r w:rsidRPr="00494289">
              <w:rPr>
                <w:noProof/>
                <w:webHidden/>
                <w:sz w:val="21"/>
                <w:szCs w:val="21"/>
              </w:rPr>
            </w:r>
            <w:r w:rsidRPr="00494289">
              <w:rPr>
                <w:noProof/>
                <w:webHidden/>
                <w:sz w:val="21"/>
                <w:szCs w:val="21"/>
              </w:rPr>
              <w:fldChar w:fldCharType="separate"/>
            </w:r>
            <w:r w:rsidRPr="00494289">
              <w:rPr>
                <w:noProof/>
                <w:webHidden/>
                <w:sz w:val="21"/>
                <w:szCs w:val="21"/>
              </w:rPr>
              <w:t>3</w:t>
            </w:r>
            <w:r w:rsidRPr="00494289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3132A183" w14:textId="0660FA11" w:rsidR="00494289" w:rsidRPr="00494289" w:rsidRDefault="00494289">
          <w:pPr>
            <w:pStyle w:val="Sommario1"/>
            <w:tabs>
              <w:tab w:val="right" w:leader="dot" w:pos="9496"/>
            </w:tabs>
            <w:rPr>
              <w:b w:val="0"/>
              <w:bCs w:val="0"/>
              <w:i/>
              <w:iCs/>
              <w:noProof/>
              <w:kern w:val="2"/>
              <w:sz w:val="21"/>
              <w:szCs w:val="21"/>
              <w14:ligatures w14:val="standardContextual"/>
            </w:rPr>
          </w:pPr>
          <w:hyperlink w:anchor="_Toc233036746" w:history="1">
            <w:r w:rsidRPr="00494289">
              <w:rPr>
                <w:rStyle w:val="Collegamentoipertestuale"/>
                <w:noProof/>
                <w:sz w:val="21"/>
                <w:szCs w:val="21"/>
              </w:rPr>
              <w:t>2.  Contesto Istituzionale e Analisi AS-IS</w:t>
            </w:r>
            <w:r w:rsidRPr="00494289">
              <w:rPr>
                <w:noProof/>
                <w:webHidden/>
                <w:sz w:val="21"/>
                <w:szCs w:val="21"/>
              </w:rPr>
              <w:tab/>
            </w:r>
            <w:r w:rsidRPr="00494289">
              <w:rPr>
                <w:noProof/>
                <w:webHidden/>
                <w:sz w:val="21"/>
                <w:szCs w:val="21"/>
              </w:rPr>
              <w:fldChar w:fldCharType="begin"/>
            </w:r>
            <w:r w:rsidRPr="00494289">
              <w:rPr>
                <w:noProof/>
                <w:webHidden/>
                <w:sz w:val="21"/>
                <w:szCs w:val="21"/>
              </w:rPr>
              <w:instrText xml:space="preserve"> PAGEREF _Toc233036746 \h </w:instrText>
            </w:r>
            <w:r w:rsidRPr="00494289">
              <w:rPr>
                <w:noProof/>
                <w:webHidden/>
                <w:sz w:val="21"/>
                <w:szCs w:val="21"/>
              </w:rPr>
            </w:r>
            <w:r w:rsidRPr="00494289">
              <w:rPr>
                <w:noProof/>
                <w:webHidden/>
                <w:sz w:val="21"/>
                <w:szCs w:val="21"/>
              </w:rPr>
              <w:fldChar w:fldCharType="separate"/>
            </w:r>
            <w:r w:rsidRPr="00494289">
              <w:rPr>
                <w:noProof/>
                <w:webHidden/>
                <w:sz w:val="21"/>
                <w:szCs w:val="21"/>
              </w:rPr>
              <w:t>3</w:t>
            </w:r>
            <w:r w:rsidRPr="00494289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E6AFE0C" w14:textId="55A8AF5A" w:rsidR="00494289" w:rsidRPr="00494289" w:rsidRDefault="00494289">
          <w:pPr>
            <w:pStyle w:val="Sommario2"/>
            <w:tabs>
              <w:tab w:val="right" w:leader="dot" w:pos="9496"/>
            </w:tabs>
            <w:rPr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33036747" w:history="1">
            <w:r w:rsidRPr="00494289">
              <w:rPr>
                <w:rStyle w:val="Collegamentoipertestuale"/>
                <w:noProof/>
                <w:sz w:val="21"/>
                <w:szCs w:val="21"/>
              </w:rPr>
              <w:t>2.1 Dati dimensionali chiave</w:t>
            </w:r>
            <w:r w:rsidRPr="00494289">
              <w:rPr>
                <w:noProof/>
                <w:webHidden/>
                <w:sz w:val="21"/>
                <w:szCs w:val="21"/>
              </w:rPr>
              <w:tab/>
            </w:r>
            <w:r w:rsidRPr="00494289">
              <w:rPr>
                <w:noProof/>
                <w:webHidden/>
                <w:sz w:val="21"/>
                <w:szCs w:val="21"/>
              </w:rPr>
              <w:fldChar w:fldCharType="begin"/>
            </w:r>
            <w:r w:rsidRPr="00494289">
              <w:rPr>
                <w:noProof/>
                <w:webHidden/>
                <w:sz w:val="21"/>
                <w:szCs w:val="21"/>
              </w:rPr>
              <w:instrText xml:space="preserve"> PAGEREF _Toc233036747 \h </w:instrText>
            </w:r>
            <w:r w:rsidRPr="00494289">
              <w:rPr>
                <w:noProof/>
                <w:webHidden/>
                <w:sz w:val="21"/>
                <w:szCs w:val="21"/>
              </w:rPr>
            </w:r>
            <w:r w:rsidRPr="00494289">
              <w:rPr>
                <w:noProof/>
                <w:webHidden/>
                <w:sz w:val="21"/>
                <w:szCs w:val="21"/>
              </w:rPr>
              <w:fldChar w:fldCharType="separate"/>
            </w:r>
            <w:r w:rsidRPr="00494289">
              <w:rPr>
                <w:noProof/>
                <w:webHidden/>
                <w:sz w:val="21"/>
                <w:szCs w:val="21"/>
              </w:rPr>
              <w:t>3</w:t>
            </w:r>
            <w:r w:rsidRPr="00494289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69A0FBEE" w14:textId="3C484E55" w:rsidR="00494289" w:rsidRPr="00494289" w:rsidRDefault="00494289">
          <w:pPr>
            <w:pStyle w:val="Sommario1"/>
            <w:tabs>
              <w:tab w:val="right" w:leader="dot" w:pos="9496"/>
            </w:tabs>
            <w:rPr>
              <w:b w:val="0"/>
              <w:bCs w:val="0"/>
              <w:i/>
              <w:iCs/>
              <w:noProof/>
              <w:kern w:val="2"/>
              <w:sz w:val="21"/>
              <w:szCs w:val="21"/>
              <w14:ligatures w14:val="standardContextual"/>
            </w:rPr>
          </w:pPr>
          <w:hyperlink w:anchor="_Toc233036748" w:history="1">
            <w:r w:rsidRPr="00494289">
              <w:rPr>
                <w:rStyle w:val="Collegamentoipertestuale"/>
                <w:noProof/>
                <w:sz w:val="21"/>
                <w:szCs w:val="21"/>
              </w:rPr>
              <w:t>3.  Visione, Missione e Sistema Valoriale</w:t>
            </w:r>
            <w:r w:rsidRPr="00494289">
              <w:rPr>
                <w:noProof/>
                <w:webHidden/>
                <w:sz w:val="21"/>
                <w:szCs w:val="21"/>
              </w:rPr>
              <w:tab/>
            </w:r>
            <w:r w:rsidRPr="00494289">
              <w:rPr>
                <w:noProof/>
                <w:webHidden/>
                <w:sz w:val="21"/>
                <w:szCs w:val="21"/>
              </w:rPr>
              <w:fldChar w:fldCharType="begin"/>
            </w:r>
            <w:r w:rsidRPr="00494289">
              <w:rPr>
                <w:noProof/>
                <w:webHidden/>
                <w:sz w:val="21"/>
                <w:szCs w:val="21"/>
              </w:rPr>
              <w:instrText xml:space="preserve"> PAGEREF _Toc233036748 \h </w:instrText>
            </w:r>
            <w:r w:rsidRPr="00494289">
              <w:rPr>
                <w:noProof/>
                <w:webHidden/>
                <w:sz w:val="21"/>
                <w:szCs w:val="21"/>
              </w:rPr>
            </w:r>
            <w:r w:rsidRPr="00494289">
              <w:rPr>
                <w:noProof/>
                <w:webHidden/>
                <w:sz w:val="21"/>
                <w:szCs w:val="21"/>
              </w:rPr>
              <w:fldChar w:fldCharType="separate"/>
            </w:r>
            <w:r w:rsidRPr="00494289">
              <w:rPr>
                <w:noProof/>
                <w:webHidden/>
                <w:sz w:val="21"/>
                <w:szCs w:val="21"/>
              </w:rPr>
              <w:t>4</w:t>
            </w:r>
            <w:r w:rsidRPr="00494289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5FEDD71D" w14:textId="283B5EB5" w:rsidR="00494289" w:rsidRPr="00494289" w:rsidRDefault="00494289">
          <w:pPr>
            <w:pStyle w:val="Sommario1"/>
            <w:tabs>
              <w:tab w:val="right" w:leader="dot" w:pos="9496"/>
            </w:tabs>
            <w:rPr>
              <w:b w:val="0"/>
              <w:bCs w:val="0"/>
              <w:i/>
              <w:iCs/>
              <w:noProof/>
              <w:kern w:val="2"/>
              <w:sz w:val="21"/>
              <w:szCs w:val="21"/>
              <w14:ligatures w14:val="standardContextual"/>
            </w:rPr>
          </w:pPr>
          <w:hyperlink w:anchor="_Toc233036749" w:history="1">
            <w:r w:rsidRPr="00494289">
              <w:rPr>
                <w:rStyle w:val="Collegamentoipertestuale"/>
                <w:noProof/>
                <w:sz w:val="21"/>
                <w:szCs w:val="21"/>
              </w:rPr>
              <w:t>4.  Valore Pubblico e Obiettivi Strategici</w:t>
            </w:r>
            <w:r w:rsidRPr="00494289">
              <w:rPr>
                <w:noProof/>
                <w:webHidden/>
                <w:sz w:val="21"/>
                <w:szCs w:val="21"/>
              </w:rPr>
              <w:tab/>
            </w:r>
            <w:r w:rsidRPr="00494289">
              <w:rPr>
                <w:noProof/>
                <w:webHidden/>
                <w:sz w:val="21"/>
                <w:szCs w:val="21"/>
              </w:rPr>
              <w:fldChar w:fldCharType="begin"/>
            </w:r>
            <w:r w:rsidRPr="00494289">
              <w:rPr>
                <w:noProof/>
                <w:webHidden/>
                <w:sz w:val="21"/>
                <w:szCs w:val="21"/>
              </w:rPr>
              <w:instrText xml:space="preserve"> PAGEREF _Toc233036749 \h </w:instrText>
            </w:r>
            <w:r w:rsidRPr="00494289">
              <w:rPr>
                <w:noProof/>
                <w:webHidden/>
                <w:sz w:val="21"/>
                <w:szCs w:val="21"/>
              </w:rPr>
            </w:r>
            <w:r w:rsidRPr="00494289">
              <w:rPr>
                <w:noProof/>
                <w:webHidden/>
                <w:sz w:val="21"/>
                <w:szCs w:val="21"/>
              </w:rPr>
              <w:fldChar w:fldCharType="separate"/>
            </w:r>
            <w:r w:rsidRPr="00494289">
              <w:rPr>
                <w:noProof/>
                <w:webHidden/>
                <w:sz w:val="21"/>
                <w:szCs w:val="21"/>
              </w:rPr>
              <w:t>5</w:t>
            </w:r>
            <w:r w:rsidRPr="00494289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426264D4" w14:textId="71AAFE08" w:rsidR="00494289" w:rsidRPr="00494289" w:rsidRDefault="00494289">
          <w:pPr>
            <w:pStyle w:val="Sommario2"/>
            <w:tabs>
              <w:tab w:val="right" w:leader="dot" w:pos="9496"/>
            </w:tabs>
            <w:rPr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33036750" w:history="1">
            <w:r w:rsidRPr="00494289">
              <w:rPr>
                <w:rStyle w:val="Collegamentoipertestuale"/>
                <w:noProof/>
                <w:sz w:val="21"/>
                <w:szCs w:val="21"/>
              </w:rPr>
              <w:t>4.1 Budget per obiettivi strategici 2026 (risorse proprie, al netto personale strutturato)</w:t>
            </w:r>
            <w:r w:rsidRPr="00494289">
              <w:rPr>
                <w:noProof/>
                <w:webHidden/>
                <w:sz w:val="21"/>
                <w:szCs w:val="21"/>
              </w:rPr>
              <w:tab/>
            </w:r>
            <w:r w:rsidRPr="00494289">
              <w:rPr>
                <w:noProof/>
                <w:webHidden/>
                <w:sz w:val="21"/>
                <w:szCs w:val="21"/>
              </w:rPr>
              <w:fldChar w:fldCharType="begin"/>
            </w:r>
            <w:r w:rsidRPr="00494289">
              <w:rPr>
                <w:noProof/>
                <w:webHidden/>
                <w:sz w:val="21"/>
                <w:szCs w:val="21"/>
              </w:rPr>
              <w:instrText xml:space="preserve"> PAGEREF _Toc233036750 \h </w:instrText>
            </w:r>
            <w:r w:rsidRPr="00494289">
              <w:rPr>
                <w:noProof/>
                <w:webHidden/>
                <w:sz w:val="21"/>
                <w:szCs w:val="21"/>
              </w:rPr>
            </w:r>
            <w:r w:rsidRPr="00494289">
              <w:rPr>
                <w:noProof/>
                <w:webHidden/>
                <w:sz w:val="21"/>
                <w:szCs w:val="21"/>
              </w:rPr>
              <w:fldChar w:fldCharType="separate"/>
            </w:r>
            <w:r w:rsidRPr="00494289">
              <w:rPr>
                <w:noProof/>
                <w:webHidden/>
                <w:sz w:val="21"/>
                <w:szCs w:val="21"/>
              </w:rPr>
              <w:t>5</w:t>
            </w:r>
            <w:r w:rsidRPr="00494289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53C2E511" w14:textId="05D2E41E" w:rsidR="00494289" w:rsidRPr="00494289" w:rsidRDefault="00494289">
          <w:pPr>
            <w:pStyle w:val="Sommario2"/>
            <w:tabs>
              <w:tab w:val="right" w:leader="dot" w:pos="9496"/>
            </w:tabs>
            <w:rPr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33036751" w:history="1">
            <w:r w:rsidRPr="00494289">
              <w:rPr>
                <w:rStyle w:val="Collegamentoipertestuale"/>
                <w:noProof/>
                <w:sz w:val="21"/>
                <w:szCs w:val="21"/>
              </w:rPr>
              <w:t>4.2 Mappa degli obiettivi strategici</w:t>
            </w:r>
            <w:r w:rsidRPr="00494289">
              <w:rPr>
                <w:noProof/>
                <w:webHidden/>
                <w:sz w:val="21"/>
                <w:szCs w:val="21"/>
              </w:rPr>
              <w:tab/>
            </w:r>
            <w:r w:rsidRPr="00494289">
              <w:rPr>
                <w:noProof/>
                <w:webHidden/>
                <w:sz w:val="21"/>
                <w:szCs w:val="21"/>
              </w:rPr>
              <w:fldChar w:fldCharType="begin"/>
            </w:r>
            <w:r w:rsidRPr="00494289">
              <w:rPr>
                <w:noProof/>
                <w:webHidden/>
                <w:sz w:val="21"/>
                <w:szCs w:val="21"/>
              </w:rPr>
              <w:instrText xml:space="preserve"> PAGEREF _Toc233036751 \h </w:instrText>
            </w:r>
            <w:r w:rsidRPr="00494289">
              <w:rPr>
                <w:noProof/>
                <w:webHidden/>
                <w:sz w:val="21"/>
                <w:szCs w:val="21"/>
              </w:rPr>
            </w:r>
            <w:r w:rsidRPr="00494289">
              <w:rPr>
                <w:noProof/>
                <w:webHidden/>
                <w:sz w:val="21"/>
                <w:szCs w:val="21"/>
              </w:rPr>
              <w:fldChar w:fldCharType="separate"/>
            </w:r>
            <w:r w:rsidRPr="00494289">
              <w:rPr>
                <w:noProof/>
                <w:webHidden/>
                <w:sz w:val="21"/>
                <w:szCs w:val="21"/>
              </w:rPr>
              <w:t>5</w:t>
            </w:r>
            <w:r w:rsidRPr="00494289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6DAA506" w14:textId="5EF73F50" w:rsidR="00494289" w:rsidRPr="00494289" w:rsidRDefault="00494289">
          <w:pPr>
            <w:pStyle w:val="Sommario1"/>
            <w:tabs>
              <w:tab w:val="right" w:leader="dot" w:pos="9496"/>
            </w:tabs>
            <w:rPr>
              <w:b w:val="0"/>
              <w:bCs w:val="0"/>
              <w:i/>
              <w:iCs/>
              <w:noProof/>
              <w:kern w:val="2"/>
              <w:sz w:val="21"/>
              <w:szCs w:val="21"/>
              <w14:ligatures w14:val="standardContextual"/>
            </w:rPr>
          </w:pPr>
          <w:hyperlink w:anchor="_Toc233036752" w:history="1">
            <w:r w:rsidRPr="00494289">
              <w:rPr>
                <w:rStyle w:val="Collegamentoipertestuale"/>
                <w:noProof/>
                <w:sz w:val="21"/>
                <w:szCs w:val="21"/>
              </w:rPr>
              <w:t>5.  Ciclo della Performance e Governance</w:t>
            </w:r>
            <w:r w:rsidRPr="00494289">
              <w:rPr>
                <w:noProof/>
                <w:webHidden/>
                <w:sz w:val="21"/>
                <w:szCs w:val="21"/>
              </w:rPr>
              <w:tab/>
            </w:r>
            <w:r w:rsidRPr="00494289">
              <w:rPr>
                <w:noProof/>
                <w:webHidden/>
                <w:sz w:val="21"/>
                <w:szCs w:val="21"/>
              </w:rPr>
              <w:fldChar w:fldCharType="begin"/>
            </w:r>
            <w:r w:rsidRPr="00494289">
              <w:rPr>
                <w:noProof/>
                <w:webHidden/>
                <w:sz w:val="21"/>
                <w:szCs w:val="21"/>
              </w:rPr>
              <w:instrText xml:space="preserve"> PAGEREF _Toc233036752 \h </w:instrText>
            </w:r>
            <w:r w:rsidRPr="00494289">
              <w:rPr>
                <w:noProof/>
                <w:webHidden/>
                <w:sz w:val="21"/>
                <w:szCs w:val="21"/>
              </w:rPr>
            </w:r>
            <w:r w:rsidRPr="00494289">
              <w:rPr>
                <w:noProof/>
                <w:webHidden/>
                <w:sz w:val="21"/>
                <w:szCs w:val="21"/>
              </w:rPr>
              <w:fldChar w:fldCharType="separate"/>
            </w:r>
            <w:r w:rsidRPr="00494289">
              <w:rPr>
                <w:noProof/>
                <w:webHidden/>
                <w:sz w:val="21"/>
                <w:szCs w:val="21"/>
              </w:rPr>
              <w:t>7</w:t>
            </w:r>
            <w:r w:rsidRPr="00494289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3CF9CDF1" w14:textId="3F5A308B" w:rsidR="00494289" w:rsidRPr="00494289" w:rsidRDefault="00494289">
          <w:pPr>
            <w:pStyle w:val="Sommario1"/>
            <w:tabs>
              <w:tab w:val="right" w:leader="dot" w:pos="9496"/>
            </w:tabs>
            <w:rPr>
              <w:b w:val="0"/>
              <w:bCs w:val="0"/>
              <w:i/>
              <w:iCs/>
              <w:noProof/>
              <w:kern w:val="2"/>
              <w:sz w:val="21"/>
              <w:szCs w:val="21"/>
              <w14:ligatures w14:val="standardContextual"/>
            </w:rPr>
          </w:pPr>
          <w:hyperlink w:anchor="_Toc233036753" w:history="1">
            <w:r w:rsidRPr="00494289">
              <w:rPr>
                <w:rStyle w:val="Collegamentoipertestuale"/>
                <w:noProof/>
                <w:sz w:val="21"/>
                <w:szCs w:val="21"/>
              </w:rPr>
              <w:t>6.  Rischi Corruttivi, Trasparenza e Integrità</w:t>
            </w:r>
            <w:r w:rsidRPr="00494289">
              <w:rPr>
                <w:noProof/>
                <w:webHidden/>
                <w:sz w:val="21"/>
                <w:szCs w:val="21"/>
              </w:rPr>
              <w:tab/>
            </w:r>
            <w:r w:rsidRPr="00494289">
              <w:rPr>
                <w:noProof/>
                <w:webHidden/>
                <w:sz w:val="21"/>
                <w:szCs w:val="21"/>
              </w:rPr>
              <w:fldChar w:fldCharType="begin"/>
            </w:r>
            <w:r w:rsidRPr="00494289">
              <w:rPr>
                <w:noProof/>
                <w:webHidden/>
                <w:sz w:val="21"/>
                <w:szCs w:val="21"/>
              </w:rPr>
              <w:instrText xml:space="preserve"> PAGEREF _Toc233036753 \h </w:instrText>
            </w:r>
            <w:r w:rsidRPr="00494289">
              <w:rPr>
                <w:noProof/>
                <w:webHidden/>
                <w:sz w:val="21"/>
                <w:szCs w:val="21"/>
              </w:rPr>
            </w:r>
            <w:r w:rsidRPr="00494289">
              <w:rPr>
                <w:noProof/>
                <w:webHidden/>
                <w:sz w:val="21"/>
                <w:szCs w:val="21"/>
              </w:rPr>
              <w:fldChar w:fldCharType="separate"/>
            </w:r>
            <w:r w:rsidRPr="00494289">
              <w:rPr>
                <w:noProof/>
                <w:webHidden/>
                <w:sz w:val="21"/>
                <w:szCs w:val="21"/>
              </w:rPr>
              <w:t>8</w:t>
            </w:r>
            <w:r w:rsidRPr="00494289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565E6CA4" w14:textId="1B5AE48B" w:rsidR="00494289" w:rsidRPr="00494289" w:rsidRDefault="00494289">
          <w:pPr>
            <w:pStyle w:val="Sommario1"/>
            <w:tabs>
              <w:tab w:val="right" w:leader="dot" w:pos="9496"/>
            </w:tabs>
            <w:rPr>
              <w:b w:val="0"/>
              <w:bCs w:val="0"/>
              <w:i/>
              <w:iCs/>
              <w:noProof/>
              <w:kern w:val="2"/>
              <w:sz w:val="21"/>
              <w:szCs w:val="21"/>
              <w14:ligatures w14:val="standardContextual"/>
            </w:rPr>
          </w:pPr>
          <w:hyperlink w:anchor="_Toc233036754" w:history="1">
            <w:r w:rsidRPr="00494289">
              <w:rPr>
                <w:rStyle w:val="Collegamentoipertestuale"/>
                <w:noProof/>
                <w:sz w:val="21"/>
                <w:szCs w:val="21"/>
              </w:rPr>
              <w:t>7.  Organizzazione e Capitale Umano</w:t>
            </w:r>
            <w:r w:rsidRPr="00494289">
              <w:rPr>
                <w:noProof/>
                <w:webHidden/>
                <w:sz w:val="21"/>
                <w:szCs w:val="21"/>
              </w:rPr>
              <w:tab/>
            </w:r>
            <w:r w:rsidRPr="00494289">
              <w:rPr>
                <w:noProof/>
                <w:webHidden/>
                <w:sz w:val="21"/>
                <w:szCs w:val="21"/>
              </w:rPr>
              <w:fldChar w:fldCharType="begin"/>
            </w:r>
            <w:r w:rsidRPr="00494289">
              <w:rPr>
                <w:noProof/>
                <w:webHidden/>
                <w:sz w:val="21"/>
                <w:szCs w:val="21"/>
              </w:rPr>
              <w:instrText xml:space="preserve"> PAGEREF _Toc233036754 \h </w:instrText>
            </w:r>
            <w:r w:rsidRPr="00494289">
              <w:rPr>
                <w:noProof/>
                <w:webHidden/>
                <w:sz w:val="21"/>
                <w:szCs w:val="21"/>
              </w:rPr>
            </w:r>
            <w:r w:rsidRPr="00494289">
              <w:rPr>
                <w:noProof/>
                <w:webHidden/>
                <w:sz w:val="21"/>
                <w:szCs w:val="21"/>
              </w:rPr>
              <w:fldChar w:fldCharType="separate"/>
            </w:r>
            <w:r w:rsidRPr="00494289">
              <w:rPr>
                <w:noProof/>
                <w:webHidden/>
                <w:sz w:val="21"/>
                <w:szCs w:val="21"/>
              </w:rPr>
              <w:t>8</w:t>
            </w:r>
            <w:r w:rsidRPr="00494289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F7AC476" w14:textId="236E4D5D" w:rsidR="00494289" w:rsidRPr="00494289" w:rsidRDefault="00494289">
          <w:pPr>
            <w:pStyle w:val="Sommario2"/>
            <w:tabs>
              <w:tab w:val="right" w:leader="dot" w:pos="9496"/>
            </w:tabs>
            <w:rPr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33036755" w:history="1">
            <w:r w:rsidRPr="00494289">
              <w:rPr>
                <w:rStyle w:val="Collegamentoipertestuale"/>
                <w:noProof/>
                <w:sz w:val="21"/>
                <w:szCs w:val="21"/>
              </w:rPr>
              <w:t>7.1 Struttura organizzativa</w:t>
            </w:r>
            <w:r w:rsidRPr="00494289">
              <w:rPr>
                <w:noProof/>
                <w:webHidden/>
                <w:sz w:val="21"/>
                <w:szCs w:val="21"/>
              </w:rPr>
              <w:tab/>
            </w:r>
            <w:r w:rsidRPr="00494289">
              <w:rPr>
                <w:noProof/>
                <w:webHidden/>
                <w:sz w:val="21"/>
                <w:szCs w:val="21"/>
              </w:rPr>
              <w:fldChar w:fldCharType="begin"/>
            </w:r>
            <w:r w:rsidRPr="00494289">
              <w:rPr>
                <w:noProof/>
                <w:webHidden/>
                <w:sz w:val="21"/>
                <w:szCs w:val="21"/>
              </w:rPr>
              <w:instrText xml:space="preserve"> PAGEREF _Toc233036755 \h </w:instrText>
            </w:r>
            <w:r w:rsidRPr="00494289">
              <w:rPr>
                <w:noProof/>
                <w:webHidden/>
                <w:sz w:val="21"/>
                <w:szCs w:val="21"/>
              </w:rPr>
            </w:r>
            <w:r w:rsidRPr="00494289">
              <w:rPr>
                <w:noProof/>
                <w:webHidden/>
                <w:sz w:val="21"/>
                <w:szCs w:val="21"/>
              </w:rPr>
              <w:fldChar w:fldCharType="separate"/>
            </w:r>
            <w:r w:rsidRPr="00494289">
              <w:rPr>
                <w:noProof/>
                <w:webHidden/>
                <w:sz w:val="21"/>
                <w:szCs w:val="21"/>
              </w:rPr>
              <w:t>8</w:t>
            </w:r>
            <w:r w:rsidRPr="00494289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23CFF0DC" w14:textId="1E6065DF" w:rsidR="00494289" w:rsidRPr="00494289" w:rsidRDefault="00494289">
          <w:pPr>
            <w:pStyle w:val="Sommario2"/>
            <w:tabs>
              <w:tab w:val="right" w:leader="dot" w:pos="9496"/>
            </w:tabs>
            <w:rPr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33036756" w:history="1">
            <w:r w:rsidRPr="00494289">
              <w:rPr>
                <w:rStyle w:val="Collegamentoipertestuale"/>
                <w:noProof/>
                <w:sz w:val="21"/>
                <w:szCs w:val="21"/>
              </w:rPr>
              <w:t>7.2 Lavoro agile</w:t>
            </w:r>
            <w:r w:rsidRPr="00494289">
              <w:rPr>
                <w:noProof/>
                <w:webHidden/>
                <w:sz w:val="21"/>
                <w:szCs w:val="21"/>
              </w:rPr>
              <w:tab/>
            </w:r>
            <w:r w:rsidRPr="00494289">
              <w:rPr>
                <w:noProof/>
                <w:webHidden/>
                <w:sz w:val="21"/>
                <w:szCs w:val="21"/>
              </w:rPr>
              <w:fldChar w:fldCharType="begin"/>
            </w:r>
            <w:r w:rsidRPr="00494289">
              <w:rPr>
                <w:noProof/>
                <w:webHidden/>
                <w:sz w:val="21"/>
                <w:szCs w:val="21"/>
              </w:rPr>
              <w:instrText xml:space="preserve"> PAGEREF _Toc233036756 \h </w:instrText>
            </w:r>
            <w:r w:rsidRPr="00494289">
              <w:rPr>
                <w:noProof/>
                <w:webHidden/>
                <w:sz w:val="21"/>
                <w:szCs w:val="21"/>
              </w:rPr>
            </w:r>
            <w:r w:rsidRPr="00494289">
              <w:rPr>
                <w:noProof/>
                <w:webHidden/>
                <w:sz w:val="21"/>
                <w:szCs w:val="21"/>
              </w:rPr>
              <w:fldChar w:fldCharType="separate"/>
            </w:r>
            <w:r w:rsidRPr="00494289">
              <w:rPr>
                <w:noProof/>
                <w:webHidden/>
                <w:sz w:val="21"/>
                <w:szCs w:val="21"/>
              </w:rPr>
              <w:t>9</w:t>
            </w:r>
            <w:r w:rsidRPr="00494289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B57E37D" w14:textId="36325671" w:rsidR="00494289" w:rsidRPr="00494289" w:rsidRDefault="00494289">
          <w:pPr>
            <w:pStyle w:val="Sommario2"/>
            <w:tabs>
              <w:tab w:val="right" w:leader="dot" w:pos="9496"/>
            </w:tabs>
            <w:rPr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33036757" w:history="1">
            <w:r w:rsidRPr="00494289">
              <w:rPr>
                <w:rStyle w:val="Collegamentoipertestuale"/>
                <w:noProof/>
                <w:sz w:val="21"/>
                <w:szCs w:val="21"/>
              </w:rPr>
              <w:t>7.3 Piano Triennale dei Fabbisogni di Personale e Formazione</w:t>
            </w:r>
            <w:r w:rsidRPr="00494289">
              <w:rPr>
                <w:noProof/>
                <w:webHidden/>
                <w:sz w:val="21"/>
                <w:szCs w:val="21"/>
              </w:rPr>
              <w:tab/>
            </w:r>
            <w:r w:rsidRPr="00494289">
              <w:rPr>
                <w:noProof/>
                <w:webHidden/>
                <w:sz w:val="21"/>
                <w:szCs w:val="21"/>
              </w:rPr>
              <w:fldChar w:fldCharType="begin"/>
            </w:r>
            <w:r w:rsidRPr="00494289">
              <w:rPr>
                <w:noProof/>
                <w:webHidden/>
                <w:sz w:val="21"/>
                <w:szCs w:val="21"/>
              </w:rPr>
              <w:instrText xml:space="preserve"> PAGEREF _Toc233036757 \h </w:instrText>
            </w:r>
            <w:r w:rsidRPr="00494289">
              <w:rPr>
                <w:noProof/>
                <w:webHidden/>
                <w:sz w:val="21"/>
                <w:szCs w:val="21"/>
              </w:rPr>
            </w:r>
            <w:r w:rsidRPr="00494289">
              <w:rPr>
                <w:noProof/>
                <w:webHidden/>
                <w:sz w:val="21"/>
                <w:szCs w:val="21"/>
              </w:rPr>
              <w:fldChar w:fldCharType="separate"/>
            </w:r>
            <w:r w:rsidRPr="00494289">
              <w:rPr>
                <w:noProof/>
                <w:webHidden/>
                <w:sz w:val="21"/>
                <w:szCs w:val="21"/>
              </w:rPr>
              <w:t>9</w:t>
            </w:r>
            <w:r w:rsidRPr="00494289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5BF1BC2" w14:textId="3E3ED255" w:rsidR="00494289" w:rsidRPr="00494289" w:rsidRDefault="00494289">
          <w:pPr>
            <w:pStyle w:val="Sommario1"/>
            <w:tabs>
              <w:tab w:val="right" w:leader="dot" w:pos="9496"/>
            </w:tabs>
            <w:rPr>
              <w:b w:val="0"/>
              <w:bCs w:val="0"/>
              <w:i/>
              <w:iCs/>
              <w:noProof/>
              <w:kern w:val="2"/>
              <w:sz w:val="21"/>
              <w:szCs w:val="21"/>
              <w14:ligatures w14:val="standardContextual"/>
            </w:rPr>
          </w:pPr>
          <w:hyperlink w:anchor="_Toc233036758" w:history="1">
            <w:r w:rsidRPr="00494289">
              <w:rPr>
                <w:rStyle w:val="Collegamentoipertestuale"/>
                <w:rFonts w:ascii="Arial" w:hAnsi="Arial" w:cs="Arial"/>
                <w:noProof/>
                <w:sz w:val="21"/>
                <w:szCs w:val="21"/>
              </w:rPr>
              <w:t>8.  Digitalizzazione e Semplificazione Amministrativa</w:t>
            </w:r>
            <w:r w:rsidRPr="00494289">
              <w:rPr>
                <w:noProof/>
                <w:webHidden/>
                <w:sz w:val="21"/>
                <w:szCs w:val="21"/>
              </w:rPr>
              <w:tab/>
            </w:r>
            <w:r w:rsidRPr="00494289">
              <w:rPr>
                <w:noProof/>
                <w:webHidden/>
                <w:sz w:val="21"/>
                <w:szCs w:val="21"/>
              </w:rPr>
              <w:fldChar w:fldCharType="begin"/>
            </w:r>
            <w:r w:rsidRPr="00494289">
              <w:rPr>
                <w:noProof/>
                <w:webHidden/>
                <w:sz w:val="21"/>
                <w:szCs w:val="21"/>
              </w:rPr>
              <w:instrText xml:space="preserve"> PAGEREF _Toc233036758 \h </w:instrText>
            </w:r>
            <w:r w:rsidRPr="00494289">
              <w:rPr>
                <w:noProof/>
                <w:webHidden/>
                <w:sz w:val="21"/>
                <w:szCs w:val="21"/>
              </w:rPr>
            </w:r>
            <w:r w:rsidRPr="00494289">
              <w:rPr>
                <w:noProof/>
                <w:webHidden/>
                <w:sz w:val="21"/>
                <w:szCs w:val="21"/>
              </w:rPr>
              <w:fldChar w:fldCharType="separate"/>
            </w:r>
            <w:r w:rsidRPr="00494289">
              <w:rPr>
                <w:noProof/>
                <w:webHidden/>
                <w:sz w:val="21"/>
                <w:szCs w:val="21"/>
              </w:rPr>
              <w:t>9</w:t>
            </w:r>
            <w:r w:rsidRPr="00494289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3F98CA27" w14:textId="2E81FF9A" w:rsidR="00494289" w:rsidRPr="00494289" w:rsidRDefault="00494289">
          <w:pPr>
            <w:pStyle w:val="Sommario1"/>
            <w:tabs>
              <w:tab w:val="right" w:leader="dot" w:pos="9496"/>
            </w:tabs>
            <w:rPr>
              <w:b w:val="0"/>
              <w:bCs w:val="0"/>
              <w:i/>
              <w:iCs/>
              <w:noProof/>
              <w:kern w:val="2"/>
              <w:sz w:val="21"/>
              <w:szCs w:val="21"/>
              <w14:ligatures w14:val="standardContextual"/>
            </w:rPr>
          </w:pPr>
          <w:hyperlink w:anchor="_Toc233036759" w:history="1">
            <w:r w:rsidRPr="00494289">
              <w:rPr>
                <w:rStyle w:val="Collegamentoipertestuale"/>
                <w:noProof/>
                <w:sz w:val="21"/>
                <w:szCs w:val="21"/>
              </w:rPr>
              <w:t>9.  PNRR e Sviluppo Infrastrutturale</w:t>
            </w:r>
            <w:r w:rsidRPr="00494289">
              <w:rPr>
                <w:noProof/>
                <w:webHidden/>
                <w:sz w:val="21"/>
                <w:szCs w:val="21"/>
              </w:rPr>
              <w:tab/>
            </w:r>
            <w:r w:rsidRPr="00494289">
              <w:rPr>
                <w:noProof/>
                <w:webHidden/>
                <w:sz w:val="21"/>
                <w:szCs w:val="21"/>
              </w:rPr>
              <w:fldChar w:fldCharType="begin"/>
            </w:r>
            <w:r w:rsidRPr="00494289">
              <w:rPr>
                <w:noProof/>
                <w:webHidden/>
                <w:sz w:val="21"/>
                <w:szCs w:val="21"/>
              </w:rPr>
              <w:instrText xml:space="preserve"> PAGEREF _Toc233036759 \h </w:instrText>
            </w:r>
            <w:r w:rsidRPr="00494289">
              <w:rPr>
                <w:noProof/>
                <w:webHidden/>
                <w:sz w:val="21"/>
                <w:szCs w:val="21"/>
              </w:rPr>
            </w:r>
            <w:r w:rsidRPr="00494289">
              <w:rPr>
                <w:noProof/>
                <w:webHidden/>
                <w:sz w:val="21"/>
                <w:szCs w:val="21"/>
              </w:rPr>
              <w:fldChar w:fldCharType="separate"/>
            </w:r>
            <w:r w:rsidRPr="00494289">
              <w:rPr>
                <w:noProof/>
                <w:webHidden/>
                <w:sz w:val="21"/>
                <w:szCs w:val="21"/>
              </w:rPr>
              <w:t>10</w:t>
            </w:r>
            <w:r w:rsidRPr="00494289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63900A90" w14:textId="0A3046E7" w:rsidR="00494289" w:rsidRPr="00494289" w:rsidRDefault="00494289">
          <w:pPr>
            <w:pStyle w:val="Sommario1"/>
            <w:tabs>
              <w:tab w:val="right" w:leader="dot" w:pos="9496"/>
            </w:tabs>
            <w:rPr>
              <w:b w:val="0"/>
              <w:bCs w:val="0"/>
              <w:i/>
              <w:iCs/>
              <w:noProof/>
              <w:kern w:val="2"/>
              <w:sz w:val="21"/>
              <w:szCs w:val="21"/>
              <w14:ligatures w14:val="standardContextual"/>
            </w:rPr>
          </w:pPr>
          <w:hyperlink w:anchor="_Toc233036760" w:history="1">
            <w:r w:rsidRPr="00494289">
              <w:rPr>
                <w:rStyle w:val="Collegamentoipertestuale"/>
                <w:noProof/>
                <w:sz w:val="21"/>
                <w:szCs w:val="21"/>
              </w:rPr>
              <w:t>10.  Parità di Genere, SDGs e Bilancio di Genere</w:t>
            </w:r>
            <w:r w:rsidRPr="00494289">
              <w:rPr>
                <w:noProof/>
                <w:webHidden/>
                <w:sz w:val="21"/>
                <w:szCs w:val="21"/>
              </w:rPr>
              <w:tab/>
            </w:r>
            <w:r w:rsidRPr="00494289">
              <w:rPr>
                <w:noProof/>
                <w:webHidden/>
                <w:sz w:val="21"/>
                <w:szCs w:val="21"/>
              </w:rPr>
              <w:fldChar w:fldCharType="begin"/>
            </w:r>
            <w:r w:rsidRPr="00494289">
              <w:rPr>
                <w:noProof/>
                <w:webHidden/>
                <w:sz w:val="21"/>
                <w:szCs w:val="21"/>
              </w:rPr>
              <w:instrText xml:space="preserve"> PAGEREF _Toc233036760 \h </w:instrText>
            </w:r>
            <w:r w:rsidRPr="00494289">
              <w:rPr>
                <w:noProof/>
                <w:webHidden/>
                <w:sz w:val="21"/>
                <w:szCs w:val="21"/>
              </w:rPr>
            </w:r>
            <w:r w:rsidRPr="00494289">
              <w:rPr>
                <w:noProof/>
                <w:webHidden/>
                <w:sz w:val="21"/>
                <w:szCs w:val="21"/>
              </w:rPr>
              <w:fldChar w:fldCharType="separate"/>
            </w:r>
            <w:r w:rsidRPr="00494289">
              <w:rPr>
                <w:noProof/>
                <w:webHidden/>
                <w:sz w:val="21"/>
                <w:szCs w:val="21"/>
              </w:rPr>
              <w:t>10</w:t>
            </w:r>
            <w:r w:rsidRPr="00494289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27F232B2" w14:textId="5FBC0DCB" w:rsidR="00494289" w:rsidRPr="00494289" w:rsidRDefault="00494289">
          <w:pPr>
            <w:pStyle w:val="Sommario1"/>
            <w:tabs>
              <w:tab w:val="right" w:leader="dot" w:pos="9496"/>
            </w:tabs>
            <w:rPr>
              <w:b w:val="0"/>
              <w:bCs w:val="0"/>
              <w:i/>
              <w:iCs/>
              <w:noProof/>
              <w:kern w:val="2"/>
              <w:sz w:val="21"/>
              <w:szCs w:val="21"/>
              <w14:ligatures w14:val="standardContextual"/>
            </w:rPr>
          </w:pPr>
          <w:hyperlink w:anchor="_Toc233036761" w:history="1">
            <w:r w:rsidRPr="00494289">
              <w:rPr>
                <w:rStyle w:val="Collegamentoipertestuale"/>
                <w:noProof/>
                <w:sz w:val="21"/>
                <w:szCs w:val="21"/>
              </w:rPr>
              <w:t>11.  Sistema di Monitoraggio e Riesame</w:t>
            </w:r>
            <w:r w:rsidRPr="00494289">
              <w:rPr>
                <w:noProof/>
                <w:webHidden/>
                <w:sz w:val="21"/>
                <w:szCs w:val="21"/>
              </w:rPr>
              <w:tab/>
            </w:r>
            <w:r w:rsidRPr="00494289">
              <w:rPr>
                <w:noProof/>
                <w:webHidden/>
                <w:sz w:val="21"/>
                <w:szCs w:val="21"/>
              </w:rPr>
              <w:fldChar w:fldCharType="begin"/>
            </w:r>
            <w:r w:rsidRPr="00494289">
              <w:rPr>
                <w:noProof/>
                <w:webHidden/>
                <w:sz w:val="21"/>
                <w:szCs w:val="21"/>
              </w:rPr>
              <w:instrText xml:space="preserve"> PAGEREF _Toc233036761 \h </w:instrText>
            </w:r>
            <w:r w:rsidRPr="00494289">
              <w:rPr>
                <w:noProof/>
                <w:webHidden/>
                <w:sz w:val="21"/>
                <w:szCs w:val="21"/>
              </w:rPr>
            </w:r>
            <w:r w:rsidRPr="00494289">
              <w:rPr>
                <w:noProof/>
                <w:webHidden/>
                <w:sz w:val="21"/>
                <w:szCs w:val="21"/>
              </w:rPr>
              <w:fldChar w:fldCharType="separate"/>
            </w:r>
            <w:r w:rsidRPr="00494289">
              <w:rPr>
                <w:noProof/>
                <w:webHidden/>
                <w:sz w:val="21"/>
                <w:szCs w:val="21"/>
              </w:rPr>
              <w:t>11</w:t>
            </w:r>
            <w:r w:rsidRPr="00494289">
              <w:rPr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39CE9A99" w14:textId="4C6A0015" w:rsidR="00494289" w:rsidRDefault="00494289">
          <w:r w:rsidRPr="00494289">
            <w:rPr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10E805B9" w14:textId="77777777" w:rsidR="001E4CAD" w:rsidRDefault="001E4CAD">
      <w:pPr>
        <w:spacing w:before="30" w:after="30"/>
        <w:rPr>
          <w:sz w:val="21"/>
          <w:szCs w:val="21"/>
        </w:rPr>
      </w:pPr>
    </w:p>
    <w:p w14:paraId="4FFDDA7D" w14:textId="77777777" w:rsidR="00AD772B" w:rsidRDefault="00000000">
      <w:r>
        <w:br w:type="page"/>
      </w:r>
    </w:p>
    <w:p w14:paraId="58B3CEAA" w14:textId="77777777" w:rsidR="00AD772B" w:rsidRDefault="00000000" w:rsidP="001E4CAD">
      <w:pPr>
        <w:pStyle w:val="Titolo1"/>
      </w:pPr>
      <w:bookmarkStart w:id="0" w:name="_Toc233036745"/>
      <w:r>
        <w:lastRenderedPageBreak/>
        <w:t>1.  Premessa e Quadro Normativo</w:t>
      </w:r>
      <w:bookmarkEnd w:id="0"/>
    </w:p>
    <w:p w14:paraId="1FA8F656" w14:textId="77777777" w:rsidR="001A50C4" w:rsidRDefault="001A50C4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</w:p>
    <w:p w14:paraId="508AF54F" w14:textId="275915E0" w:rsid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Piano Integrato di Attività e Organizzazione (PIAO) 2026–2028 dell'Università degli Studi di Roma Tor Vergata è redatto ai sensi dell'art. 6, comma 6, del D.L. n. 80/2021, convertito dalla L. 6 agosto 2021, n. 113. </w:t>
      </w:r>
    </w:p>
    <w:p w14:paraId="334DF51B" w14:textId="2B2549BF" w:rsidR="00B33C5E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documento integra in un unico strumento programmatorio i precedenti piani settoriali (performance, prevenzione della corruzione, trasparenza, fabbisogni di personale, lavoro agile), perseguendo una logica di semplificazione e coerenza sistemica degli indirizzi istituzionali. </w:t>
      </w:r>
    </w:p>
    <w:p w14:paraId="1254CBE1" w14:textId="77777777" w:rsidR="00B33C5E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presente documento costituisce l'Executive Summary del PIAO 2026–2028, predisposto con l'obiettivo di offrire una lettura sintetica e integrata dei contenuti principali del Piano, facilitando l'accesso alle informazioni essenziali per tutti i portatori di interesse istituzionali. </w:t>
      </w:r>
    </w:p>
    <w:p w14:paraId="050C471F" w14:textId="50C0DFC1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testo integrale del PIAO, corredato degli allegati tecnici, è disponibile sul portale Amministrazione Trasparente dell'Ateneo.</w:t>
      </w:r>
    </w:p>
    <w:p w14:paraId="51889A30" w14:textId="77777777" w:rsidR="00B33C5E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PIAO funge da raccordo strategico-operativo tra i cicli di pianificazione prescritti dalla normativa vigente – in particolare il D.Lgs. 150/2009 così come modificato dal D.Lgs. 74/2017 – e il modello di Assicurazione della Qualità AVA 3, declinato dal D.M. 1154/2021 e allineato alle risultanze dell'accreditamento periodico ANVUR 2018, della riorganizzazione dell'amministrazione, delle osservazioni del Nucleo di Valutazione (NdV). </w:t>
      </w:r>
    </w:p>
    <w:p w14:paraId="4311314D" w14:textId="5A1E2544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Piano si configura altresì come strumento funzionale all'attuazione degli interventi previsti dal Piano Nazionale di Ripresa e Resilienza (PNRR), garantendo la coerenza tra gli obiettivi di Ateneo e le sei Missioni di investimento nazionale.</w:t>
      </w:r>
    </w:p>
    <w:p w14:paraId="059D23EE" w14:textId="77777777" w:rsidR="00AD772B" w:rsidRPr="001E4CAD" w:rsidRDefault="00000000">
      <w:pPr>
        <w:pBdr>
          <w:top w:val="single" w:sz="4" w:space="0" w:color="1A4D6E"/>
          <w:left w:val="thick" w:sz="12" w:space="0" w:color="1A4D6E"/>
          <w:bottom w:val="single" w:sz="4" w:space="0" w:color="1A4D6E"/>
        </w:pBdr>
        <w:shd w:val="clear" w:color="auto" w:fill="EAF2FB"/>
        <w:spacing w:before="120" w:after="40"/>
        <w:ind w:left="200" w:right="200"/>
        <w:rPr>
          <w:rFonts w:ascii="Arial" w:hAnsi="Arial" w:cs="Arial"/>
        </w:rPr>
      </w:pPr>
      <w:r>
        <w:rPr>
          <w:rFonts w:ascii="Arial" w:hAnsi="Arial" w:cs="Arial"/>
          <w:b/>
          <w:bCs/>
          <w:color w:val="1A4D6E"/>
        </w:rPr>
        <w:t>Perimetro di integrazione normativa</w:t>
      </w:r>
    </w:p>
    <w:p w14:paraId="7878037A" w14:textId="77777777" w:rsidR="00AD772B" w:rsidRPr="001E4CAD" w:rsidRDefault="00000000">
      <w:pPr>
        <w:pBdr>
          <w:top w:val="single" w:sz="4" w:space="0" w:color="1A4D6E"/>
          <w:left w:val="thick" w:sz="12" w:space="0" w:color="1A4D6E"/>
          <w:bottom w:val="single" w:sz="4" w:space="0" w:color="1A4D6E"/>
        </w:pBdr>
        <w:shd w:val="clear" w:color="auto" w:fill="EAF2FB"/>
        <w:spacing w:before="80" w:after="80" w:line="276" w:lineRule="auto"/>
        <w:ind w:left="200" w:right="200"/>
        <w:jc w:val="both"/>
        <w:rPr>
          <w:rFonts w:ascii="Arial" w:hAnsi="Arial" w:cs="Arial"/>
        </w:rPr>
      </w:pPr>
      <w:r>
        <w:rPr>
          <w:rFonts w:ascii="Arial" w:hAnsi="Arial" w:cs="Arial"/>
        </w:rPr>
        <w:t>D.L. 80/2021 – L. 113/2021 (PIAO) | D.Lgs. 150/2009 – D.Lgs. 74/2017 (Performance) | D.M. 1154/2021 – AVA 3 (AQ) | DM 773/2024 – PRO3 (Programmazione Triennale) | Agenda ONU 2030 – SDGs | PNRR 2021-2026</w:t>
      </w:r>
    </w:p>
    <w:p w14:paraId="048BCCDE" w14:textId="77777777" w:rsidR="00AD772B" w:rsidRDefault="00000000" w:rsidP="001E4CAD">
      <w:pPr>
        <w:pStyle w:val="Titolo1"/>
      </w:pPr>
      <w:bookmarkStart w:id="1" w:name="_Toc233036746"/>
      <w:r>
        <w:t>2.  Contesto Istituzionale e Analisi AS-IS</w:t>
      </w:r>
      <w:bookmarkEnd w:id="1"/>
    </w:p>
    <w:p w14:paraId="3D31C16D" w14:textId="77777777" w:rsid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L'Università degli Studi di Roma Tor Vergata è un ateneo statale generalista, con sede nel quadrante sud-est della città di Roma, riconosciuta tra le eccellenze italiane nella ricerca e nella didattica. </w:t>
      </w:r>
    </w:p>
    <w:p w14:paraId="023F04EB" w14:textId="7DF1B821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campus, esteso su un'area di proprietà dell'ente, ospita oltre 40.000 persone al giorno, includendo il Policlinico Tor Vergata, il CNR, l'ASI, il Laboratorio Nicola Cabibbo e numerose istituzioni di ricerca nazionali e internazionali (ENEA, ESA-ESRIN, INFN, INAF).</w:t>
      </w:r>
    </w:p>
    <w:p w14:paraId="46AC5B8D" w14:textId="0D931524" w:rsidR="00AD772B" w:rsidRDefault="001E4CAD" w:rsidP="001E4CAD">
      <w:pPr>
        <w:pStyle w:val="Titolo2"/>
      </w:pPr>
      <w:bookmarkStart w:id="2" w:name="_Toc233036747"/>
      <w:r>
        <w:t>2.1 Dati dimensionali chiave</w:t>
      </w:r>
      <w:bookmarkEnd w:id="2"/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0"/>
        <w:gridCol w:w="2800"/>
        <w:gridCol w:w="3600"/>
      </w:tblGrid>
      <w:tr w:rsidR="00AD772B" w:rsidRPr="001E4CAD" w14:paraId="67A3050E" w14:textId="77777777"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1A4D6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D410232" w14:textId="77777777" w:rsidR="00AD772B" w:rsidRPr="001E4CAD" w:rsidRDefault="00000000" w:rsidP="001A50C4">
            <w:pPr>
              <w:spacing w:before="60" w:after="6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FFFFFF"/>
              </w:rPr>
              <w:t>Dimensione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1A4D6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1FE1E12" w14:textId="77777777" w:rsidR="00AD772B" w:rsidRPr="001E4CAD" w:rsidRDefault="00000000" w:rsidP="001A50C4">
            <w:pPr>
              <w:spacing w:before="60" w:after="6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FFFFFF"/>
              </w:rPr>
              <w:t>Dato / Valore</w:t>
            </w:r>
          </w:p>
        </w:tc>
        <w:tc>
          <w:tcPr>
            <w:tcW w:w="3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1A4D6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D44D37" w14:textId="77777777" w:rsidR="00AD772B" w:rsidRPr="001E4CAD" w:rsidRDefault="00000000" w:rsidP="001A50C4">
            <w:pPr>
              <w:spacing w:before="60" w:after="6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FFFFFF"/>
              </w:rPr>
              <w:t>Riferimento</w:t>
            </w:r>
          </w:p>
        </w:tc>
      </w:tr>
      <w:tr w:rsidR="00AD772B" w:rsidRPr="001E4CAD" w14:paraId="7AD57335" w14:textId="77777777"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405CE43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Studenti (costo standard)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DC6DAED" w14:textId="77777777" w:rsidR="00AD772B" w:rsidRPr="001E4CAD" w:rsidRDefault="00000000" w:rsidP="001A50C4">
            <w:pPr>
              <w:spacing w:before="60" w:after="6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27.780</w:t>
            </w:r>
          </w:p>
        </w:tc>
        <w:tc>
          <w:tcPr>
            <w:tcW w:w="3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C96FDD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A.A. 2024/25 – MUR</w:t>
            </w:r>
          </w:p>
        </w:tc>
      </w:tr>
      <w:tr w:rsidR="00AD772B" w:rsidRPr="001E4CAD" w14:paraId="76190420" w14:textId="77777777"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B1B71B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Corsi di dottorato di ricerca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1CA7494" w14:textId="77777777" w:rsidR="00AD772B" w:rsidRPr="001E4CAD" w:rsidRDefault="00000000" w:rsidP="001A50C4">
            <w:pPr>
              <w:spacing w:before="60" w:after="6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37 (41° ciclo)</w:t>
            </w:r>
          </w:p>
        </w:tc>
        <w:tc>
          <w:tcPr>
            <w:tcW w:w="3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E72F94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Facoltà e 4 Macroaree</w:t>
            </w:r>
          </w:p>
        </w:tc>
      </w:tr>
      <w:tr w:rsidR="00AD772B" w:rsidRPr="001E4CAD" w14:paraId="08EB018C" w14:textId="77777777"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8C024C7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Dottorati con accordi internazionali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E4FC860" w14:textId="77777777" w:rsidR="00AD772B" w:rsidRPr="001E4CAD" w:rsidRDefault="00000000" w:rsidP="001A50C4">
            <w:pPr>
              <w:spacing w:before="60" w:after="6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51%</w:t>
            </w:r>
          </w:p>
        </w:tc>
        <w:tc>
          <w:tcPr>
            <w:tcW w:w="3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5C6DBCD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Titoli congiunti, cotutele, co-op.</w:t>
            </w:r>
          </w:p>
        </w:tc>
      </w:tr>
      <w:tr w:rsidR="00AD772B" w:rsidRPr="001E4CAD" w14:paraId="5A4CFC8E" w14:textId="77777777"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AA70292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FFO – Finanziamento Ordinario 2025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41A630C" w14:textId="77777777" w:rsidR="00AD772B" w:rsidRPr="001E4CAD" w:rsidRDefault="00000000" w:rsidP="001A50C4">
            <w:pPr>
              <w:spacing w:before="60" w:after="6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~151 M€</w:t>
            </w:r>
          </w:p>
        </w:tc>
        <w:tc>
          <w:tcPr>
            <w:tcW w:w="3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3568C30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Recupero ai livelli 2014 nel 2025</w:t>
            </w:r>
          </w:p>
        </w:tc>
      </w:tr>
      <w:tr w:rsidR="00AD772B" w:rsidRPr="001E4CAD" w14:paraId="5C45EDA9" w14:textId="77777777"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681BBCF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Contribuzione studentesca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A0EE770" w14:textId="77777777" w:rsidR="00AD772B" w:rsidRPr="001E4CAD" w:rsidRDefault="00000000" w:rsidP="001A50C4">
            <w:pPr>
              <w:spacing w:before="60" w:after="6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&lt; 40 M€</w:t>
            </w:r>
          </w:p>
        </w:tc>
        <w:tc>
          <w:tcPr>
            <w:tcW w:w="3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8D19B77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Domanda anelastica al prezzo</w:t>
            </w:r>
          </w:p>
        </w:tc>
      </w:tr>
      <w:tr w:rsidR="00AD772B" w:rsidRPr="001E4CAD" w14:paraId="6E59D293" w14:textId="77777777"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1BB468A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Tax Area (rimborso MUR 2025)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88DBCF5" w14:textId="77777777" w:rsidR="00AD772B" w:rsidRPr="001E4CAD" w:rsidRDefault="00000000" w:rsidP="001A50C4">
            <w:pPr>
              <w:spacing w:before="60" w:after="6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7 M€</w:t>
            </w:r>
          </w:p>
        </w:tc>
        <w:tc>
          <w:tcPr>
            <w:tcW w:w="3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096A58C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Compensazione parziale riduzione tasse</w:t>
            </w:r>
          </w:p>
        </w:tc>
      </w:tr>
      <w:tr w:rsidR="00AD772B" w:rsidRPr="001E4CAD" w14:paraId="4AC309A7" w14:textId="77777777"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7D4A81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Studenti Erasmus+ Outgoing (2024)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49FF02F" w14:textId="77777777" w:rsidR="00AD772B" w:rsidRPr="001E4CAD" w:rsidRDefault="00000000" w:rsidP="001A50C4">
            <w:pPr>
              <w:spacing w:before="60" w:after="60"/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675 (+2,4%)</w:t>
            </w:r>
          </w:p>
        </w:tc>
        <w:tc>
          <w:tcPr>
            <w:tcW w:w="36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6CE1331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Trend crescente nel triennio 2022-24</w:t>
            </w:r>
          </w:p>
        </w:tc>
      </w:tr>
    </w:tbl>
    <w:p w14:paraId="018D3F83" w14:textId="5E9ECED5" w:rsidR="00AD772B" w:rsidRDefault="00000000" w:rsidP="001E4CAD">
      <w:pPr>
        <w:pStyle w:val="Titolo1"/>
      </w:pPr>
      <w:bookmarkStart w:id="3" w:name="_Toc233036748"/>
      <w:r>
        <w:t>3.  Visione, Missione e Sistema Valoriale</w:t>
      </w:r>
      <w:bookmarkEnd w:id="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36"/>
        <w:gridCol w:w="4860"/>
      </w:tblGrid>
      <w:tr w:rsidR="00AD772B" w:rsidRPr="001E4CAD" w14:paraId="7674FF67" w14:textId="77777777" w:rsidTr="00DE4722">
        <w:tc>
          <w:tcPr>
            <w:tcW w:w="2441" w:type="pc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BD3DE" w:themeFill="text2" w:themeFillTint="40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22CA2E41" w14:textId="77777777" w:rsidR="00AD772B" w:rsidRPr="001E4CAD" w:rsidRDefault="00000000" w:rsidP="00DE4722">
            <w:pPr>
              <w:spacing w:before="60" w:after="10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color w:val="000000" w:themeColor="text1"/>
                <w:sz w:val="24"/>
                <w:szCs w:val="24"/>
              </w:rPr>
              <w:t>VISIONE</w:t>
            </w:r>
          </w:p>
          <w:p w14:paraId="415D26CA" w14:textId="77777777" w:rsidR="00AD772B" w:rsidRPr="001E4CAD" w:rsidRDefault="00000000" w:rsidP="00DE4722">
            <w:pPr>
              <w:pStyle w:val="Paragrafoelenco"/>
              <w:numPr>
                <w:ilvl w:val="0"/>
                <w:numId w:val="2"/>
              </w:numPr>
              <w:spacing w:before="40" w:after="4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Completare e valorizzare le strutture per rispondere alle esigenze di crescita quantitativa e qualitativa del corpo docente e del personale.</w:t>
            </w:r>
          </w:p>
          <w:p w14:paraId="2DA5FB0C" w14:textId="77777777" w:rsidR="00AD772B" w:rsidRPr="001E4CAD" w:rsidRDefault="00000000" w:rsidP="00DE4722">
            <w:pPr>
              <w:pStyle w:val="Paragrafoelenco"/>
              <w:numPr>
                <w:ilvl w:val="0"/>
                <w:numId w:val="2"/>
              </w:numPr>
              <w:spacing w:before="40" w:after="4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Essere attori di innovazione nei processi di comunicazione, insegnamento, socializzazione e sviluppo sostenibile.</w:t>
            </w:r>
          </w:p>
          <w:p w14:paraId="539CCD8E" w14:textId="77777777" w:rsidR="00AD772B" w:rsidRPr="001E4CAD" w:rsidRDefault="00000000" w:rsidP="00DE4722">
            <w:pPr>
              <w:pStyle w:val="Paragrafoelenco"/>
              <w:numPr>
                <w:ilvl w:val="0"/>
                <w:numId w:val="2"/>
              </w:numPr>
              <w:spacing w:before="40" w:after="4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Revisionare la pianificazione strategica tenendo conto dei cambiamenti di contesto e delle opportunità emergenti.</w:t>
            </w:r>
          </w:p>
          <w:p w14:paraId="4186A464" w14:textId="77777777" w:rsidR="00AD772B" w:rsidRPr="001E4CAD" w:rsidRDefault="00000000" w:rsidP="00DE4722">
            <w:pPr>
              <w:pStyle w:val="Paragrafoelenco"/>
              <w:numPr>
                <w:ilvl w:val="0"/>
                <w:numId w:val="2"/>
              </w:numPr>
              <w:spacing w:before="40" w:after="4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Promuovere nuove azioni che vadano a integrare le già numerose iniziative di sviluppo sostenibile avviate dall'Ateneo.</w:t>
            </w:r>
          </w:p>
          <w:p w14:paraId="655D6811" w14:textId="77777777" w:rsidR="00AD772B" w:rsidRPr="001E4CAD" w:rsidRDefault="00AD772B" w:rsidP="00DE4722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9" w:type="pct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EEAF6" w:themeFill="accent5" w:themeFillTint="33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4B6E48EA" w14:textId="77777777" w:rsidR="00AD772B" w:rsidRPr="001E4CAD" w:rsidRDefault="00000000" w:rsidP="00DE4722">
            <w:pPr>
              <w:spacing w:before="60" w:after="10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aps/>
                <w:color w:val="000000" w:themeColor="text1"/>
                <w:sz w:val="24"/>
                <w:szCs w:val="24"/>
              </w:rPr>
              <w:t>MISSIONE</w:t>
            </w:r>
          </w:p>
          <w:p w14:paraId="60F012B2" w14:textId="77777777" w:rsidR="00AD772B" w:rsidRPr="001E4CAD" w:rsidRDefault="00000000" w:rsidP="00DE4722">
            <w:pPr>
              <w:pStyle w:val="Paragrafoelenco"/>
              <w:numPr>
                <w:ilvl w:val="0"/>
                <w:numId w:val="3"/>
              </w:numPr>
              <w:spacing w:before="40" w:after="4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Promuovere l'eccellenza in didattica, ricerca e innovazione, garantendo un ambiente formativo inclusivo e dinamico.</w:t>
            </w:r>
          </w:p>
          <w:p w14:paraId="750A20C2" w14:textId="77777777" w:rsidR="00AD772B" w:rsidRPr="001E4CAD" w:rsidRDefault="00000000" w:rsidP="00DE4722">
            <w:pPr>
              <w:pStyle w:val="Paragrafoelenco"/>
              <w:numPr>
                <w:ilvl w:val="0"/>
                <w:numId w:val="3"/>
              </w:numPr>
              <w:spacing w:before="40" w:after="4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Coltivare relazioni internazionali e rafforzare il legame con il territorio tramite trasferimento tecnologico e collaborazione con le imprese.</w:t>
            </w:r>
          </w:p>
          <w:p w14:paraId="2097BA79" w14:textId="77777777" w:rsidR="00AD772B" w:rsidRPr="001E4CAD" w:rsidRDefault="00000000" w:rsidP="00DE4722">
            <w:pPr>
              <w:pStyle w:val="Paragrafoelenco"/>
              <w:numPr>
                <w:ilvl w:val="0"/>
                <w:numId w:val="3"/>
              </w:numPr>
              <w:spacing w:before="40" w:after="4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Sostenere lo sviluppo sostenibile con attenzione a responsabilità sociale, inclusione e valorizzazione territoriale.</w:t>
            </w:r>
          </w:p>
          <w:p w14:paraId="77D98181" w14:textId="77777777" w:rsidR="00AD772B" w:rsidRPr="001E4CAD" w:rsidRDefault="00000000" w:rsidP="00DE4722">
            <w:pPr>
              <w:pStyle w:val="Paragrafoelenco"/>
              <w:numPr>
                <w:ilvl w:val="0"/>
                <w:numId w:val="3"/>
              </w:numPr>
              <w:spacing w:before="40" w:after="4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Formare cittadini e professionisti consapevoli, responsabili e capaci di affrontare le sfide globali con spirito critico e innovativo.</w:t>
            </w:r>
          </w:p>
          <w:p w14:paraId="6E4A31FD" w14:textId="77777777" w:rsidR="00AD772B" w:rsidRPr="001E4CAD" w:rsidRDefault="00000000" w:rsidP="00DE4722">
            <w:pPr>
              <w:pStyle w:val="Paragrafoelenco"/>
              <w:numPr>
                <w:ilvl w:val="0"/>
                <w:numId w:val="3"/>
              </w:numPr>
              <w:spacing w:before="40" w:after="4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Favorire la collaborazione interdisciplinare tra docenti, studenti e personale tecnico-amministrativo per la creazione di conoscenza condivisa.</w:t>
            </w:r>
          </w:p>
          <w:p w14:paraId="2F6CA7FA" w14:textId="77777777" w:rsidR="00AD772B" w:rsidRPr="001E4CAD" w:rsidRDefault="00000000" w:rsidP="00DE4722">
            <w:pPr>
              <w:pStyle w:val="Paragrafoelenco"/>
              <w:numPr>
                <w:ilvl w:val="0"/>
                <w:numId w:val="3"/>
              </w:numPr>
              <w:spacing w:before="40" w:after="4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Rafforzare il legame con il territorio, attraverso il trasferimento tecnologico, la collaborazione con le imprese e il sostegno all'occupabilità.</w:t>
            </w:r>
          </w:p>
        </w:tc>
      </w:tr>
    </w:tbl>
    <w:p w14:paraId="01770D9B" w14:textId="77777777" w:rsidR="00AD772B" w:rsidRDefault="00AD772B">
      <w:pPr>
        <w:spacing w:before="80"/>
      </w:pPr>
    </w:p>
    <w:p w14:paraId="2850A9DD" w14:textId="77777777" w:rsidR="00B33C5E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Il sistema valoriale dell'Ateneo è strutturato intorno al framework degli Obiettivi di Sviluppo Sostenibile (SDGs) dell'Agenda ONU 2030, con particolare riferimento all'Obiettivo 4 (Istruzione di qualità). </w:t>
      </w:r>
    </w:p>
    <w:p w14:paraId="15614C52" w14:textId="77777777" w:rsidR="00B33C5E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Tor Vergata aderisce alla rete CRUI delle università sostenibili ed è co-fondatrice dell'Alleanza Italiana per lo Sviluppo Sostenibile (ASviS). </w:t>
      </w:r>
    </w:p>
    <w:p w14:paraId="4F519819" w14:textId="39914719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principio di sostenibilità viene declinato come capacità di orientare l'azione istituzionale alle esigenze del contesto interno/esterno e degli stakeholder, integrando la dimensione economica, sociale e ambientale.</w:t>
      </w:r>
    </w:p>
    <w:p w14:paraId="5420DE95" w14:textId="5C818C50" w:rsidR="00AD772B" w:rsidRDefault="00000000" w:rsidP="001E4CAD">
      <w:pPr>
        <w:pStyle w:val="Titolo1"/>
      </w:pPr>
      <w:bookmarkStart w:id="4" w:name="_Toc233036749"/>
      <w:r>
        <w:t>4.  Valore Pubblico e Obiettivi Strategici</w:t>
      </w:r>
      <w:bookmarkEnd w:id="4"/>
    </w:p>
    <w:p w14:paraId="2FA1D536" w14:textId="77777777" w:rsidR="00B33C5E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PIAO adotta il framework della "Public Value Governance" come architettura di governo della performance, declinato attraverso la BSC (Balanced Scorecard – Scheda di Valutazione Bilanciata) Valore Pubblico e la "Piramide del Valore Pubblico". Tale modello articola la creazione di valore su quattro livelli gerarchici: </w:t>
      </w:r>
    </w:p>
    <w:p w14:paraId="58DF8387" w14:textId="77777777" w:rsidR="00B33C5E" w:rsidRPr="001E4CAD" w:rsidRDefault="00000000" w:rsidP="00B33C5E">
      <w:pPr>
        <w:pStyle w:val="Paragrafoelenco"/>
        <w:numPr>
          <w:ilvl w:val="0"/>
          <w:numId w:val="6"/>
        </w:num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Valore Istituzionale (impatti e outcome), </w:t>
      </w:r>
    </w:p>
    <w:p w14:paraId="69FAB0C4" w14:textId="77777777" w:rsidR="00B33C5E" w:rsidRPr="001E4CAD" w:rsidRDefault="00000000" w:rsidP="00B33C5E">
      <w:pPr>
        <w:pStyle w:val="Paragrafoelenco"/>
        <w:numPr>
          <w:ilvl w:val="0"/>
          <w:numId w:val="6"/>
        </w:num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Valore Organizzativo (efficacia ed efficienza dei servizi), </w:t>
      </w:r>
    </w:p>
    <w:p w14:paraId="5DC0D60E" w14:textId="77777777" w:rsidR="00B33C5E" w:rsidRPr="001E4CAD" w:rsidRDefault="00000000" w:rsidP="00B33C5E">
      <w:pPr>
        <w:pStyle w:val="Paragrafoelenco"/>
        <w:numPr>
          <w:ilvl w:val="0"/>
          <w:numId w:val="6"/>
        </w:num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Valore di Processo (gestione e ottimizzazione dei processi interni), </w:t>
      </w:r>
    </w:p>
    <w:p w14:paraId="4DDEAF86" w14:textId="77777777" w:rsidR="00B33C5E" w:rsidRPr="001E4CAD" w:rsidRDefault="00000000" w:rsidP="00B33C5E">
      <w:pPr>
        <w:pStyle w:val="Paragrafoelenco"/>
        <w:numPr>
          <w:ilvl w:val="0"/>
          <w:numId w:val="6"/>
        </w:num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Valore Individuale (performance di dirigenti e dipendenti). </w:t>
      </w:r>
    </w:p>
    <w:p w14:paraId="0C07EA00" w14:textId="49E0BDD0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 strumento GZOOM consente l'elaborazione e la visualizzazione della Balanced Scorecard d'Ateneo.</w:t>
      </w:r>
    </w:p>
    <w:p w14:paraId="26A8BCBF" w14:textId="77777777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Gli obiettivi strategici sono organizzati in cinque aree di intervento, ciascuna con propri obiettivi specifici, indicatori misurabili e target triennali. Il raccordo con la programmazione finanziaria avviene attraverso l'allineamento del ciclo di budget (preventivo annuale e triennale) con il ciclo della performance, con lettura dei costi per obiettivo strategico e allocazione delle risorse per schede di budget.</w:t>
      </w:r>
    </w:p>
    <w:p w14:paraId="325DAE73" w14:textId="04883EF9" w:rsidR="00AD772B" w:rsidRDefault="001E4CAD" w:rsidP="001E4CAD">
      <w:pPr>
        <w:pStyle w:val="Titolo2"/>
      </w:pPr>
      <w:bookmarkStart w:id="5" w:name="_Toc233036750"/>
      <w:r>
        <w:t>4.1 Budget per obiettivi strategici 2026 (risorse proprie, al netto personale strutturato)</w:t>
      </w:r>
      <w:bookmarkEnd w:id="5"/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00"/>
        <w:gridCol w:w="2800"/>
        <w:gridCol w:w="2800"/>
      </w:tblGrid>
      <w:tr w:rsidR="00AD772B" w:rsidRPr="001E4CAD" w14:paraId="4E7CE8E0" w14:textId="77777777">
        <w:tc>
          <w:tcPr>
            <w:tcW w:w="42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1A4D6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EFA3B0E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Area Strategica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1A4D6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B87AA6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Budget Economico 2026 (€)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1A4D6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462817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Budget Investimenti 2026 (€)</w:t>
            </w:r>
          </w:p>
        </w:tc>
      </w:tr>
      <w:tr w:rsidR="00AD772B" w:rsidRPr="001E4CAD" w14:paraId="65922B90" w14:textId="77777777">
        <w:tc>
          <w:tcPr>
            <w:tcW w:w="42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8FEB038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Ricerca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DBB1BD3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8.127.218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E27526F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12.500</w:t>
            </w:r>
          </w:p>
        </w:tc>
      </w:tr>
      <w:tr w:rsidR="00AD772B" w:rsidRPr="001E4CAD" w14:paraId="002FD4FF" w14:textId="77777777">
        <w:tc>
          <w:tcPr>
            <w:tcW w:w="42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39E18D7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Didattica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32BCEAA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10.657.295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2A43270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22.701.620</w:t>
            </w:r>
          </w:p>
        </w:tc>
      </w:tr>
      <w:tr w:rsidR="00AD772B" w:rsidRPr="001E4CAD" w14:paraId="6E2B91C7" w14:textId="77777777">
        <w:tc>
          <w:tcPr>
            <w:tcW w:w="42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60AFA1A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Terza Missione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298B85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2.038.255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ADA278A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201.000</w:t>
            </w:r>
          </w:p>
        </w:tc>
      </w:tr>
      <w:tr w:rsidR="00AD772B" w:rsidRPr="001E4CAD" w14:paraId="50955468" w14:textId="77777777">
        <w:tc>
          <w:tcPr>
            <w:tcW w:w="42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884656C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Servizi agli Utenti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A33A9E4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34.742.928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B095883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17.414.774</w:t>
            </w:r>
          </w:p>
        </w:tc>
      </w:tr>
      <w:tr w:rsidR="00AD772B" w:rsidRPr="001E4CAD" w14:paraId="486C82BD" w14:textId="77777777">
        <w:tc>
          <w:tcPr>
            <w:tcW w:w="42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BD40A2D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Organizzazione e Ambiente di Lavoro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0972581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2.922.887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186B8CE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200.000</w:t>
            </w:r>
          </w:p>
        </w:tc>
      </w:tr>
      <w:tr w:rsidR="00AD772B" w:rsidRPr="001E4CAD" w14:paraId="426F8C4E" w14:textId="77777777">
        <w:tc>
          <w:tcPr>
            <w:tcW w:w="42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1A4D6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5E06694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TOTALE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1A4D6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CCBEE0C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58.488.583</w:t>
            </w:r>
          </w:p>
        </w:tc>
        <w:tc>
          <w:tcPr>
            <w:tcW w:w="28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1A4D6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677F145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40.529.894</w:t>
            </w:r>
          </w:p>
        </w:tc>
      </w:tr>
    </w:tbl>
    <w:p w14:paraId="75B8D960" w14:textId="77777777" w:rsidR="00494289" w:rsidRDefault="00494289" w:rsidP="001E4CAD">
      <w:pPr>
        <w:pStyle w:val="Titolo2"/>
      </w:pPr>
      <w:bookmarkStart w:id="6" w:name="_Toc233036751"/>
    </w:p>
    <w:p w14:paraId="0CC71C6A" w14:textId="46B054FA" w:rsidR="00AD772B" w:rsidRDefault="00B33C5E" w:rsidP="001E4CAD">
      <w:pPr>
        <w:pStyle w:val="Titolo2"/>
      </w:pPr>
      <w:r>
        <w:lastRenderedPageBreak/>
        <w:t>4.2 Mappa degli obiettivi strategici</w:t>
      </w:r>
      <w:bookmarkEnd w:id="6"/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00"/>
      </w:tblGrid>
      <w:tr w:rsidR="00AD772B" w14:paraId="4A2C2E58" w14:textId="77777777">
        <w:tc>
          <w:tcPr>
            <w:tcW w:w="9800" w:type="dxa"/>
            <w:tcBorders>
              <w:top w:val="single" w:sz="6" w:space="0" w:color="1A4D6E"/>
              <w:left w:val="thick" w:sz="16" w:space="0" w:color="1A4D6E"/>
              <w:bottom w:val="single" w:sz="6" w:space="0" w:color="1A4D6E"/>
              <w:right w:val="single" w:sz="4" w:space="0" w:color="CCCCCC"/>
            </w:tcBorders>
            <w:shd w:val="clear" w:color="auto" w:fill="EAF4F8"/>
            <w:tcMar>
              <w:top w:w="100" w:type="dxa"/>
              <w:left w:w="200" w:type="dxa"/>
              <w:bottom w:w="60" w:type="dxa"/>
              <w:right w:w="200" w:type="dxa"/>
            </w:tcMar>
            <w:vAlign w:val="center"/>
          </w:tcPr>
          <w:p w14:paraId="4D99CAE6" w14:textId="77777777" w:rsidR="00AD772B" w:rsidRPr="001E4CAD" w:rsidRDefault="00000000">
            <w:pPr>
              <w:spacing w:before="80" w:after="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A4D6E"/>
                <w:sz w:val="24"/>
                <w:szCs w:val="24"/>
              </w:rPr>
              <w:t>AREA RICERCA – Obiettivi R.1 - R.2</w:t>
            </w:r>
          </w:p>
          <w:p w14:paraId="2009C2D5" w14:textId="77777777" w:rsidR="00AD772B" w:rsidRPr="001E4CAD" w:rsidRDefault="00000000">
            <w:pPr>
              <w:pStyle w:val="Paragrafoelenco"/>
              <w:numPr>
                <w:ilvl w:val="0"/>
                <w:numId w:val="4"/>
              </w:numPr>
              <w:spacing w:before="40" w:after="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R.1 – Potenziare la ricerca di base e incentivare la ricerca applicata: monitoraggio personale inattivo (target: &lt; 196 unità), incremento pubblicazioni internazionali (target: &gt;4.938 pub.), miglioramento qualità citazionale (impact medio target: &gt;2,17), aumento progetti di ricerca internazionali finanziati (target: 30,58), incremento proventi da bandi competitivi (target: &gt;18,1 M€), potenziamento attrattività dottorato, rafforzamento Grant Office e Fundraising Office.</w:t>
            </w:r>
          </w:p>
          <w:p w14:paraId="34E82DA7" w14:textId="09DA12D1" w:rsidR="00AD772B" w:rsidRPr="001E4CAD" w:rsidRDefault="00000000" w:rsidP="001E4CAD">
            <w:pPr>
              <w:pStyle w:val="Paragrafoelenco"/>
              <w:numPr>
                <w:ilvl w:val="0"/>
                <w:numId w:val="4"/>
              </w:numPr>
              <w:spacing w:before="40" w:after="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R.2 – Internazionalizzare la ricerca: incremento mobilità internazionale dottorandi (% con soggiorno estero ≥ 6 mesi, target: &gt;7,38%), aumento iscritti al dottorato con titolo straniero (target: &gt;67,32 unità), potenziamento accordi cotutela e titoli congiunti.</w:t>
            </w:r>
          </w:p>
        </w:tc>
      </w:tr>
    </w:tbl>
    <w:p w14:paraId="2C37BA66" w14:textId="77777777" w:rsidR="00B33C5E" w:rsidRDefault="00B33C5E">
      <w:pPr>
        <w:spacing w:before="80"/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00"/>
      </w:tblGrid>
      <w:tr w:rsidR="00AD772B" w:rsidRPr="001E4CAD" w14:paraId="7B7CADCD" w14:textId="77777777">
        <w:tc>
          <w:tcPr>
            <w:tcW w:w="9800" w:type="dxa"/>
            <w:tcBorders>
              <w:top w:val="single" w:sz="6" w:space="0" w:color="1A4D6E"/>
              <w:left w:val="thick" w:sz="16" w:space="0" w:color="1A4D6E"/>
              <w:bottom w:val="single" w:sz="6" w:space="0" w:color="1A4D6E"/>
              <w:right w:val="single" w:sz="4" w:space="0" w:color="CCCCCC"/>
            </w:tcBorders>
            <w:shd w:val="clear" w:color="auto" w:fill="EAF4F8"/>
            <w:tcMar>
              <w:top w:w="100" w:type="dxa"/>
              <w:left w:w="200" w:type="dxa"/>
              <w:bottom w:w="60" w:type="dxa"/>
              <w:right w:w="200" w:type="dxa"/>
            </w:tcMar>
            <w:vAlign w:val="center"/>
          </w:tcPr>
          <w:p w14:paraId="7C050C3B" w14:textId="77777777" w:rsidR="00AD772B" w:rsidRPr="001E4CAD" w:rsidRDefault="00000000">
            <w:pPr>
              <w:spacing w:before="80" w:after="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A4D6E"/>
                <w:sz w:val="24"/>
                <w:szCs w:val="24"/>
              </w:rPr>
              <w:t>AREA DIDATTICA – Obiettivi D.1 - D.2 – D.3</w:t>
            </w:r>
          </w:p>
          <w:p w14:paraId="68B33CED" w14:textId="77777777" w:rsidR="00AD772B" w:rsidRPr="001E4CAD" w:rsidRDefault="00000000">
            <w:pPr>
              <w:pStyle w:val="Paragrafoelenco"/>
              <w:numPr>
                <w:ilvl w:val="0"/>
                <w:numId w:val="4"/>
              </w:numPr>
              <w:spacing w:before="40" w:after="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D.1 – Aumentare l'attrattività dell'offerta formativa: potenziare iniziative per migliorare l'accoglienza agli studenti (target: &gt;56), provenienza iscritti LM (target &gt;57,63), aumentare gli sbocchi occupazionali (target medio &gt;88%).</w:t>
            </w:r>
          </w:p>
          <w:p w14:paraId="3F3535ED" w14:textId="77777777" w:rsidR="00AD772B" w:rsidRPr="001E4CAD" w:rsidRDefault="00000000">
            <w:pPr>
              <w:pStyle w:val="Paragrafoelenco"/>
              <w:numPr>
                <w:ilvl w:val="0"/>
                <w:numId w:val="4"/>
              </w:numPr>
              <w:spacing w:before="40" w:after="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D.2 – Favorire i processi di apprendimento: migliorare il numero di CFU conseguiti al I anno (target &gt;48,35), aumentare la percentuale di studenti che proseguono con 2/3 dei CFU previsti al I anno (target &gt;39,02%), potenziare le attività di tutorato a supporto degli studenti (target &gt;266).</w:t>
            </w:r>
          </w:p>
          <w:p w14:paraId="1C9AD8D2" w14:textId="7E615044" w:rsidR="00AD772B" w:rsidRPr="001E4CAD" w:rsidRDefault="00000000" w:rsidP="001E4CAD">
            <w:pPr>
              <w:pStyle w:val="Paragrafoelenco"/>
              <w:numPr>
                <w:ilvl w:val="0"/>
                <w:numId w:val="4"/>
              </w:numPr>
              <w:spacing w:before="40" w:after="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D.3 – Internazionalizzare la didattica: potenziamento corsi a doppio titolo e a ciclo unico (target &gt;953), incrementare gli accordi interuniversitari internazionali per attività didattica (target &gt;311), aumentare gli studenti partecipanti al programma Erasmus+ (target INCOMING &gt;775 – OUTGOING &gt;909).</w:t>
            </w:r>
          </w:p>
        </w:tc>
      </w:tr>
    </w:tbl>
    <w:p w14:paraId="7924968B" w14:textId="77777777" w:rsidR="00AD772B" w:rsidRDefault="00AD772B">
      <w:pPr>
        <w:spacing w:before="80"/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00"/>
      </w:tblGrid>
      <w:tr w:rsidR="00AD772B" w14:paraId="350B2B4A" w14:textId="77777777">
        <w:tc>
          <w:tcPr>
            <w:tcW w:w="9800" w:type="dxa"/>
            <w:tcBorders>
              <w:top w:val="single" w:sz="6" w:space="0" w:color="1A4D6E"/>
              <w:left w:val="thick" w:sz="16" w:space="0" w:color="1A4D6E"/>
              <w:bottom w:val="single" w:sz="6" w:space="0" w:color="1A4D6E"/>
              <w:right w:val="single" w:sz="4" w:space="0" w:color="CCCCCC"/>
            </w:tcBorders>
            <w:shd w:val="clear" w:color="auto" w:fill="EAF4F8"/>
            <w:tcMar>
              <w:top w:w="100" w:type="dxa"/>
              <w:left w:w="200" w:type="dxa"/>
              <w:bottom w:w="60" w:type="dxa"/>
              <w:right w:w="200" w:type="dxa"/>
            </w:tcMar>
            <w:vAlign w:val="center"/>
          </w:tcPr>
          <w:p w14:paraId="0BB0431E" w14:textId="77777777" w:rsidR="00AD772B" w:rsidRPr="001E4CAD" w:rsidRDefault="00000000">
            <w:pPr>
              <w:spacing w:before="80" w:after="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A4D6E"/>
                <w:sz w:val="24"/>
                <w:szCs w:val="24"/>
              </w:rPr>
              <w:t>AREA TERZA MISSIONE – Obiettivi T.1 – T.2</w:t>
            </w:r>
          </w:p>
          <w:p w14:paraId="040B89AE" w14:textId="77777777" w:rsidR="00AD772B" w:rsidRPr="001E4CAD" w:rsidRDefault="00000000">
            <w:pPr>
              <w:pStyle w:val="Paragrafoelenco"/>
              <w:numPr>
                <w:ilvl w:val="0"/>
                <w:numId w:val="4"/>
              </w:numPr>
              <w:spacing w:before="40" w:after="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T.1 – Potenziare le azioni di supporto alla ricerca di Terza Missione: aumentare i progetti di terza missione sviluppati dai Dipartimenti (target &gt;46), incrementare i laboratori congiunti a supporto delle imprese (target &gt;9), potenziare metodologie e strumenti a supporto della terza missione (target &gt;10).</w:t>
            </w:r>
          </w:p>
          <w:p w14:paraId="1F08F0D0" w14:textId="04896EBA" w:rsidR="00AD772B" w:rsidRPr="001E4CAD" w:rsidRDefault="00000000" w:rsidP="001E4CAD">
            <w:pPr>
              <w:pStyle w:val="Paragrafoelenco"/>
              <w:numPr>
                <w:ilvl w:val="0"/>
                <w:numId w:val="4"/>
              </w:numPr>
              <w:spacing w:before="40" w:after="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T.2 – Potenziare le azioni di supporto allo sviluppo economico e sociale: sviluppo brevetti e spin-off (target BREVETTI &gt;39 / SPIN-OFF &gt;28), sviluppare e potenziare metodologie e strumenti a supporto dello sviluppo di start-up e spin-off (target &gt;6).</w:t>
            </w:r>
          </w:p>
        </w:tc>
      </w:tr>
    </w:tbl>
    <w:p w14:paraId="725C4FDF" w14:textId="77777777" w:rsidR="001E4CAD" w:rsidRDefault="001E4CAD">
      <w:pPr>
        <w:spacing w:before="80"/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00"/>
      </w:tblGrid>
      <w:tr w:rsidR="00AD772B" w:rsidRPr="001E4CAD" w14:paraId="790BA0DC" w14:textId="77777777">
        <w:tc>
          <w:tcPr>
            <w:tcW w:w="9800" w:type="dxa"/>
            <w:tcBorders>
              <w:top w:val="single" w:sz="6" w:space="0" w:color="1A4D6E"/>
              <w:left w:val="thick" w:sz="16" w:space="0" w:color="1A4D6E"/>
              <w:bottom w:val="single" w:sz="6" w:space="0" w:color="1A4D6E"/>
              <w:right w:val="single" w:sz="4" w:space="0" w:color="CCCCCC"/>
            </w:tcBorders>
            <w:shd w:val="clear" w:color="auto" w:fill="EAF4F8"/>
            <w:tcMar>
              <w:top w:w="100" w:type="dxa"/>
              <w:left w:w="200" w:type="dxa"/>
              <w:bottom w:w="60" w:type="dxa"/>
              <w:right w:w="200" w:type="dxa"/>
            </w:tcMar>
            <w:vAlign w:val="center"/>
          </w:tcPr>
          <w:p w14:paraId="75C5AE81" w14:textId="77777777" w:rsidR="00AD772B" w:rsidRPr="001E4CAD" w:rsidRDefault="00000000">
            <w:pPr>
              <w:spacing w:before="80" w:after="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A4D6E"/>
                <w:sz w:val="24"/>
                <w:szCs w:val="24"/>
              </w:rPr>
              <w:t>AREA SERVIZI AGLI UTENTI – Obiettivo S.1</w:t>
            </w:r>
          </w:p>
          <w:p w14:paraId="7A85C60C" w14:textId="0E8CBE1E" w:rsidR="00AD772B" w:rsidRPr="001E4CAD" w:rsidRDefault="00000000" w:rsidP="001E4CAD">
            <w:pPr>
              <w:pStyle w:val="Paragrafoelenco"/>
              <w:numPr>
                <w:ilvl w:val="0"/>
                <w:numId w:val="4"/>
              </w:numPr>
              <w:spacing w:before="40" w:after="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S.1 – Migliorare i servizi agli utenti: potenziamento servizi per studenti con disabilità e DSA (target &gt;9), copertura Wi-Fi aule (target 100%), garantire la sostenibilità del diritto allo studio (target &gt;11.220), incrementare gli stage per gli studenti (target &gt;1.360).</w:t>
            </w:r>
          </w:p>
        </w:tc>
      </w:tr>
    </w:tbl>
    <w:p w14:paraId="4E270458" w14:textId="77777777" w:rsidR="00AD772B" w:rsidRDefault="00AD772B">
      <w:pPr>
        <w:spacing w:before="80"/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00"/>
      </w:tblGrid>
      <w:tr w:rsidR="00AD772B" w:rsidRPr="001E4CAD" w14:paraId="6324E764" w14:textId="77777777">
        <w:tc>
          <w:tcPr>
            <w:tcW w:w="9800" w:type="dxa"/>
            <w:tcBorders>
              <w:top w:val="single" w:sz="6" w:space="0" w:color="1A4D6E"/>
              <w:left w:val="thick" w:sz="16" w:space="0" w:color="1A4D6E"/>
              <w:bottom w:val="single" w:sz="6" w:space="0" w:color="1A4D6E"/>
              <w:right w:val="single" w:sz="4" w:space="0" w:color="CCCCCC"/>
            </w:tcBorders>
            <w:shd w:val="clear" w:color="auto" w:fill="EAF4F8"/>
            <w:tcMar>
              <w:top w:w="100" w:type="dxa"/>
              <w:left w:w="200" w:type="dxa"/>
              <w:bottom w:w="60" w:type="dxa"/>
              <w:right w:w="200" w:type="dxa"/>
            </w:tcMar>
            <w:vAlign w:val="center"/>
          </w:tcPr>
          <w:p w14:paraId="49DE7783" w14:textId="77777777" w:rsidR="00AD772B" w:rsidRPr="001E4CAD" w:rsidRDefault="00000000">
            <w:pPr>
              <w:spacing w:before="80" w:after="6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A4D6E"/>
                <w:sz w:val="24"/>
                <w:szCs w:val="24"/>
              </w:rPr>
              <w:t>AREA ORGANIZZAZIONE – Obiettivi O.1 - O.2 - O.3</w:t>
            </w:r>
          </w:p>
          <w:p w14:paraId="769BCABB" w14:textId="77777777" w:rsidR="00AD772B" w:rsidRPr="001E4CAD" w:rsidRDefault="00000000">
            <w:pPr>
              <w:pStyle w:val="Paragrafoelenco"/>
              <w:numPr>
                <w:ilvl w:val="0"/>
                <w:numId w:val="4"/>
              </w:numPr>
              <w:spacing w:before="40" w:after="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O.1 – Migliorare l'efficienza delle spese: razionalizzazione spese correnti, monitoraggio IP (Indicatore di spesa del Personale, target &lt;69,09%), IDEB (Indicatore di Indebitamento, target &lt;6,64%) e ISEF (Indicatore di Sostenibilità Economico-Finanziaria, target &gt;1,15%), riduzione tempo medio pagamenti (target 7,29 giorni).</w:t>
            </w:r>
          </w:p>
          <w:p w14:paraId="51BD6896" w14:textId="77777777" w:rsidR="00AD772B" w:rsidRPr="001E4CAD" w:rsidRDefault="00000000">
            <w:pPr>
              <w:pStyle w:val="Paragrafoelenco"/>
              <w:numPr>
                <w:ilvl w:val="0"/>
                <w:numId w:val="4"/>
              </w:numPr>
              <w:spacing w:before="40" w:after="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O.2 – Servizi ai dipendenti e welfare aziendale: smart working – aumento personale in lavoro agile (target &gt;77,54%), incremento copertura formativa del personale (target 100%), potenziare la mobilità internazionale TAB (target &gt;16%).</w:t>
            </w:r>
          </w:p>
          <w:p w14:paraId="50338291" w14:textId="443C4028" w:rsidR="00AD772B" w:rsidRPr="001E4CAD" w:rsidRDefault="00000000" w:rsidP="001E4CAD">
            <w:pPr>
              <w:pStyle w:val="Paragrafoelenco"/>
              <w:numPr>
                <w:ilvl w:val="0"/>
                <w:numId w:val="4"/>
              </w:numPr>
              <w:spacing w:before="40" w:after="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O.3 – Prevenire la corruzione attraverso la promozione della trasparenza e dell'integrità: sistema RPCT (Responsabile della Prevenzione della Corruzione e della Trasparenza) integrato, formazione dirigenti e responsabili di Unità Organizzativa (UO) (target &gt;3).</w:t>
            </w:r>
          </w:p>
        </w:tc>
      </w:tr>
    </w:tbl>
    <w:p w14:paraId="05FF7A38" w14:textId="0E1087FD" w:rsidR="00AD772B" w:rsidRDefault="00000000" w:rsidP="001E4CAD">
      <w:pPr>
        <w:pStyle w:val="Titolo1"/>
      </w:pPr>
      <w:bookmarkStart w:id="7" w:name="_Toc233036752"/>
      <w:r>
        <w:t>5.  Ciclo della Performance e Governance</w:t>
      </w:r>
      <w:bookmarkEnd w:id="7"/>
    </w:p>
    <w:p w14:paraId="3500677F" w14:textId="77777777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ciclo della performance adotta il modello PDCA (Plan-Do-Check-Act) integrato nella pianificazione strategica 2026–2028. La struttura è organizzata su tre livelli: obiettivi strategici triennali, obiettivi operativi annuali e obiettivi individuali di dirigenti e personale TAB (Tecnico Amministrativo e Bibliotecario).</w:t>
      </w: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3400"/>
        <w:gridCol w:w="3400"/>
      </w:tblGrid>
      <w:tr w:rsidR="00AD772B" w:rsidRPr="001E4CAD" w14:paraId="16041CC8" w14:textId="77777777">
        <w:tc>
          <w:tcPr>
            <w:tcW w:w="3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1A4D6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8F52F8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Livello</w:t>
            </w:r>
          </w:p>
        </w:tc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1A4D6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46EDA25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Soggetti Responsabili</w:t>
            </w:r>
          </w:p>
        </w:tc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1A4D6E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BB3A66A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  <w:t>Orizzonte temporale</w:t>
            </w:r>
          </w:p>
        </w:tc>
      </w:tr>
      <w:tr w:rsidR="00AD772B" w:rsidRPr="001E4CAD" w14:paraId="67F98521" w14:textId="77777777">
        <w:tc>
          <w:tcPr>
            <w:tcW w:w="3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6D0EA31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A4D6E"/>
                <w:sz w:val="24"/>
                <w:szCs w:val="24"/>
              </w:rPr>
              <w:t>Obiettivi Strategici</w:t>
            </w:r>
          </w:p>
        </w:tc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7B522DC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CdA, Rettore, Senato Accademico</w:t>
            </w:r>
          </w:p>
        </w:tc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B070938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Triennale (2026-2028)</w:t>
            </w:r>
          </w:p>
        </w:tc>
      </w:tr>
      <w:tr w:rsidR="00AD772B" w:rsidRPr="001E4CAD" w14:paraId="788630A9" w14:textId="77777777">
        <w:tc>
          <w:tcPr>
            <w:tcW w:w="3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A753062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A4D6E"/>
                <w:sz w:val="24"/>
                <w:szCs w:val="24"/>
              </w:rPr>
              <w:t>Obiettivi Operativi</w:t>
            </w:r>
          </w:p>
        </w:tc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CE00EF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Direzione Generale; Dirigenti di Area (Dirigenti responsabili delle Aree Amministrative, ai sensi dell'organigramma vigente)</w:t>
            </w:r>
          </w:p>
        </w:tc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06A8C9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Annuale</w:t>
            </w:r>
          </w:p>
        </w:tc>
      </w:tr>
      <w:tr w:rsidR="00AD772B" w:rsidRPr="001E4CAD" w14:paraId="0FFEFDD3" w14:textId="77777777">
        <w:tc>
          <w:tcPr>
            <w:tcW w:w="3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F05B728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A4D6E"/>
                <w:sz w:val="24"/>
                <w:szCs w:val="24"/>
              </w:rPr>
              <w:t>Obiettivi Individuali</w:t>
            </w:r>
          </w:p>
        </w:tc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9506BCC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Dirigenti, Responsabili di UO, Personale TAB</w:t>
            </w:r>
          </w:p>
        </w:tc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D444B07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Annuale</w:t>
            </w:r>
          </w:p>
        </w:tc>
      </w:tr>
      <w:tr w:rsidR="00AD772B" w:rsidRPr="001E4CAD" w14:paraId="333AFD43" w14:textId="77777777">
        <w:tc>
          <w:tcPr>
            <w:tcW w:w="3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5C368F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A4D6E"/>
                <w:sz w:val="24"/>
                <w:szCs w:val="24"/>
              </w:rPr>
              <w:t>Monitoraggio intermedio</w:t>
            </w:r>
          </w:p>
        </w:tc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9300EE0" w14:textId="2229A571" w:rsidR="00AD772B" w:rsidRPr="001E4CAD" w:rsidRDefault="00000000" w:rsidP="00DE4722">
            <w:pPr>
              <w:spacing w:before="40" w:after="40"/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Nucleo di Valutazione (NdV) – valida la Relazione della Performance (risultati anno precedente e monitoraggio anno in corso) e monitora il ciclo della performance.</w:t>
            </w:r>
            <w:r w:rsidR="00DE4722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RPCT – coordina le attività di prevenzione della corruzione e trasparenza.</w:t>
            </w:r>
          </w:p>
        </w:tc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5F9FC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3B78A22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Semestrale</w:t>
            </w:r>
          </w:p>
        </w:tc>
      </w:tr>
      <w:tr w:rsidR="00AD772B" w:rsidRPr="001E4CAD" w14:paraId="0310F2AA" w14:textId="77777777">
        <w:tc>
          <w:tcPr>
            <w:tcW w:w="3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912D50B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A4D6E"/>
                <w:sz w:val="24"/>
                <w:szCs w:val="24"/>
              </w:rPr>
              <w:t xml:space="preserve">Rendicontazione (Relazione sulla </w:t>
            </w:r>
            <w:r>
              <w:rPr>
                <w:rFonts w:ascii="Arial" w:hAnsi="Arial" w:cs="Arial"/>
                <w:b/>
                <w:bCs/>
                <w:color w:val="1A4D6E"/>
                <w:sz w:val="24"/>
                <w:szCs w:val="24"/>
              </w:rPr>
              <w:lastRenderedPageBreak/>
              <w:t>Performance, 30 giugno)</w:t>
            </w:r>
          </w:p>
        </w:tc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28401CD" w14:textId="77777777" w:rsidR="00AD772B" w:rsidRPr="001E4CAD" w:rsidRDefault="00000000" w:rsidP="00DE4722">
            <w:pPr>
              <w:spacing w:before="60" w:after="60"/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CdA (approva), Nucleo di Valutazione (valida)</w:t>
            </w:r>
          </w:p>
        </w:tc>
        <w:tc>
          <w:tcPr>
            <w:tcW w:w="34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460A95" w14:textId="77777777" w:rsidR="00AD772B" w:rsidRPr="001E4CAD" w:rsidRDefault="00000000" w:rsidP="00DE4722">
            <w:pPr>
              <w:spacing w:before="60" w:after="6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Annuale</w:t>
            </w:r>
          </w:p>
        </w:tc>
      </w:tr>
    </w:tbl>
    <w:p w14:paraId="3C3A12E3" w14:textId="77777777" w:rsidR="00AD772B" w:rsidRDefault="00AD772B">
      <w:pPr>
        <w:spacing w:before="80"/>
      </w:pPr>
    </w:p>
    <w:p w14:paraId="408149A7" w14:textId="77777777" w:rsidR="00B33C5E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valutazione della performance individuale è articolata su schede comportamentali e di risultato differenziate per categoria (dirigenti, categoria EP, categorie B-D), con un sistema a punteggio che tiene conto del raggiungimento degli obiettivi assegnati, delle competenze dimostrate e dei comportamenti organizzativi. </w:t>
      </w:r>
    </w:p>
    <w:p w14:paraId="25E34567" w14:textId="77777777" w:rsidR="00B33C5E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punteggi alimentano direttamente il sistema incentivante e le progressioni economiche orizzontali. </w:t>
      </w:r>
    </w:p>
    <w:p w14:paraId="1AF371F9" w14:textId="3AF36129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classificazione degli indicatori della BSC (Balanced Scorecard) d'Ateneo prevede quattro tipologie: Stato delle risorse (umane, economico-finanziarie, tangibili, intangibili), Efficienza (economica, produttiva), Efficacia (quantitativa, qualitativa) e Impatto (sociale, economico, ambientale).</w:t>
      </w:r>
    </w:p>
    <w:p w14:paraId="2012DC50" w14:textId="77777777" w:rsidR="00AD772B" w:rsidRDefault="00000000" w:rsidP="001E4CAD">
      <w:pPr>
        <w:pStyle w:val="Titolo1"/>
      </w:pPr>
      <w:bookmarkStart w:id="8" w:name="_Toc233036753"/>
      <w:r>
        <w:t>6.  Rischi Corruttivi, Trasparenza e Integrità</w:t>
      </w:r>
      <w:bookmarkEnd w:id="8"/>
    </w:p>
    <w:p w14:paraId="27179B61" w14:textId="77777777" w:rsidR="00B33C5E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sezione anticorruzione del PIAO integra il Piano Triennale per la Prevenzione della Corruzione e la Trasparenza (PTPCT) secondo il framework metodologico della L. 190/2012 e delle Linee Guida ANAC. </w:t>
      </w:r>
    </w:p>
    <w:p w14:paraId="0E9A9BB8" w14:textId="1AEA3C4A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struttura di governance è presidiata dal Responsabile della Prevenzione della Corruzione e della Trasparenza (RPCT), coadiuvata dai Referenti per la mappatura dei processi a rischio nominati presso ciascun Dipartimento e Centro autonomo di spesa.</w:t>
      </w:r>
    </w:p>
    <w:p w14:paraId="486D3DC8" w14:textId="77777777" w:rsidR="00B33C5E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processo di valutazione del rischio si articola in: identificazione del contesto (analisi del contesto interno ed esterno), mappatura dei processi a rischio, valutazione probabilità/impatto per processo, definizione e implementazione delle misure di trattamento (misure generali e specifiche), monitoraggio e riesame periodico con aggiornamento annuale. </w:t>
      </w:r>
    </w:p>
    <w:p w14:paraId="5C548D3A" w14:textId="4FB0B06E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 misure di prevenzione coprono tutti gli ambiti istituzionali: reclutamento docente, procedure di gara, gestione dei fondi di ricerca, didattica, third party management.</w:t>
      </w:r>
    </w:p>
    <w:p w14:paraId="4BEA7C8A" w14:textId="77777777" w:rsid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Programma Triennale per la Trasparenza e l'Integrità garantisce la pubblicazione sistematica sul portale "Amministrazione Trasparente" dei dati previsti dal D.Lgs. 33/2013 e ss.mm.ii. </w:t>
      </w:r>
    </w:p>
    <w:p w14:paraId="32BACA6E" w14:textId="76523C91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L'indicatore O.3.02 monitora il numero di dirigenti e responsabili di UO che partecipano alle iniziative formative promosse dal RPCT, con target di copertura crescente nel triennio.</w:t>
      </w:r>
    </w:p>
    <w:p w14:paraId="3EE0604E" w14:textId="77777777" w:rsidR="00AD772B" w:rsidRDefault="00000000" w:rsidP="001E4CAD">
      <w:pPr>
        <w:pStyle w:val="Titolo1"/>
      </w:pPr>
      <w:bookmarkStart w:id="9" w:name="_Toc233036754"/>
      <w:r>
        <w:t>7.  Organizzazione e Capitale Umano</w:t>
      </w:r>
      <w:bookmarkEnd w:id="9"/>
    </w:p>
    <w:p w14:paraId="40DB58CB" w14:textId="2B795B7F" w:rsidR="00AD772B" w:rsidRDefault="001E4CAD" w:rsidP="001E4CAD">
      <w:pPr>
        <w:pStyle w:val="Titolo2"/>
      </w:pPr>
      <w:bookmarkStart w:id="10" w:name="_Toc233036755"/>
      <w:r>
        <w:t>7.1 Struttura organizzativa</w:t>
      </w:r>
      <w:bookmarkEnd w:id="10"/>
    </w:p>
    <w:p w14:paraId="5DAD7187" w14:textId="77777777" w:rsidR="00B33C5E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governance di Ateneo è esercitata dal Consiglio di Amministrazione (CdA), dal Senato Accademico e dal Rettore. </w:t>
      </w:r>
    </w:p>
    <w:p w14:paraId="4B85C194" w14:textId="77777777" w:rsidR="00B33C5E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Direttore Generale fa parte della governance e ne è parte integrante per la gestione strategica e amministrativa. </w:t>
      </w:r>
    </w:p>
    <w:p w14:paraId="39EA3006" w14:textId="61E93AE8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La struttura è organizzata in Direzioni (I–VII), Aree Amministrative e strutture accademiche (Dipartimenti, Facoltà, Macroaree e Centri di Ricerca).</w:t>
      </w:r>
    </w:p>
    <w:p w14:paraId="080EE368" w14:textId="77777777" w:rsidR="00B33C5E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Nucleo di Valutazione (NdV) è organo indipendente di governo che valida la Relazione della Performance e monitora il ciclo della performance. Il Presidio della Qualità di Ateneo (PQA) è organo di supporto per l'Assicurazione della Qualità (AQ), con funzioni distinte e complementari rispetto al NdV. </w:t>
      </w:r>
    </w:p>
    <w:p w14:paraId="0FDDF4D9" w14:textId="5F1D7498" w:rsidR="00B33C5E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presente PIAO è redatto dalla Direzione V – Ufficio Pianificazione Strategica Integrata, sotto la guida della Direttrice Generale, ed è il risultato di un percorso di programmazione condiviso e trasversale, che coinvolge in modo attivo le strutture amministrative e la governance. </w:t>
      </w:r>
    </w:p>
    <w:p w14:paraId="68412C92" w14:textId="417A6769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L'attività di elaborazione vede la collaborazione tra le diverse aree manageriali e funzionali, promuovendo un dialogo costante orientato all'allineamento delle priorità, alla razionalizzazione delle risorse e alla definizione di azioni sostenibili nel medio-lungo periodo.</w:t>
      </w:r>
    </w:p>
    <w:p w14:paraId="2757C770" w14:textId="4C492AAC" w:rsidR="00AD772B" w:rsidRDefault="001E4CAD" w:rsidP="001E4CAD">
      <w:pPr>
        <w:pStyle w:val="Titolo2"/>
      </w:pPr>
      <w:bookmarkStart w:id="11" w:name="_Toc233036756"/>
      <w:r>
        <w:t>7.2 Lavoro agile</w:t>
      </w:r>
      <w:bookmarkEnd w:id="11"/>
    </w:p>
    <w:p w14:paraId="11525C73" w14:textId="77777777" w:rsidR="00B33C5E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Piano del Lavoro Agile è conforme alle disposizioni del D.Lgs. 165/2001, art. 14, e della normativa emergenziale e post-emergenziale. </w:t>
      </w:r>
    </w:p>
    <w:p w14:paraId="577FDE5E" w14:textId="77777777" w:rsidR="00B33C5E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regolamentazione interna definisce i criteri di accesso, la sottoscrizione degli accordi individuali, le tutele per i lavoratori fragili e il sistema di monitoraggio dell'utilizzo. </w:t>
      </w:r>
    </w:p>
    <w:p w14:paraId="6D8AEAD4" w14:textId="3E36CDBF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L'indicatore O.2.01 misura la percentuale del personale in servizio che usufruisce di lavoro agile nell'anno solare, con target di incremento progressivo nel triennio.</w:t>
      </w:r>
    </w:p>
    <w:p w14:paraId="055FAA60" w14:textId="716CB1CF" w:rsidR="00AD772B" w:rsidRDefault="001E4CAD" w:rsidP="001E4CAD">
      <w:pPr>
        <w:pStyle w:val="Titolo2"/>
      </w:pPr>
      <w:bookmarkStart w:id="12" w:name="_Toc233036757"/>
      <w:r>
        <w:t>7.3 Piano Triennale dei Fabbisogni di Personale e Formazione</w:t>
      </w:r>
      <w:bookmarkEnd w:id="12"/>
    </w:p>
    <w:p w14:paraId="4217D2CE" w14:textId="77777777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Piano Triennale dei Fabbisogni di Personale (PTFP) è elaborato in coerenza con le dotazioni organiche, i vincoli di bilancio (indicatori IP, IDEB, ISEF) e le esigenze strategiche dell'Ateneo. Per il triennio 2026–2028 è confermato lo stanziamento annuale di 6 punti organico destinati prioritariamente al potenziamento del personale TAB, in risposta al forte turnover registrato negli ultimi anni.</w:t>
      </w:r>
    </w:p>
    <w:p w14:paraId="3380F163" w14:textId="77777777" w:rsidR="00B33C5E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Piano della Formazione è orientato allo sviluppo delle competenze strategiche (digitali, linguistiche, di processo, AQ e controllo di gestione). </w:t>
      </w:r>
    </w:p>
    <w:p w14:paraId="26FF0FF0" w14:textId="5F82AF03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Gli obiettivi O.2.02 e O.2.03 misurano rispettivamente la percentuale di personale che segue almeno un'attività formativa nell'anno e il numero medio di ore di formazione erogate per dipendente. Il budget destinato alla formazione ammonta a 140.000€ (2026), oltre ad altre risorse stanziate per anticorruzione e la Staff Mobility internazionale.</w:t>
      </w:r>
    </w:p>
    <w:p w14:paraId="57C9965A" w14:textId="77777777" w:rsidR="00AD772B" w:rsidRDefault="00000000" w:rsidP="001E4CAD">
      <w:pPr>
        <w:pStyle w:val="Titolo1"/>
      </w:pPr>
      <w:bookmarkStart w:id="13" w:name="_Toc233036758"/>
      <w:r>
        <w:rPr>
          <w:rFonts w:ascii="Arial" w:hAnsi="Arial" w:cs="Arial"/>
        </w:rPr>
        <w:t>8.  Digitalizzazione e Semplificazione Amministrativa</w:t>
      </w:r>
      <w:bookmarkEnd w:id="13"/>
    </w:p>
    <w:p w14:paraId="01FF7545" w14:textId="77777777" w:rsidR="00B33C5E" w:rsidRPr="001E4CAD" w:rsidRDefault="00000000">
      <w:pPr>
        <w:spacing w:before="60" w:after="60" w:line="276" w:lineRule="auto"/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trasformazione digitale è identificata come leva strutturale per il recupero di efficienza operativa e la riduzione dei costi amministrativi. </w:t>
      </w:r>
    </w:p>
    <w:p w14:paraId="53C7E6FB" w14:textId="77777777" w:rsidR="00B33C5E" w:rsidRPr="001E4CAD" w:rsidRDefault="00000000">
      <w:pPr>
        <w:spacing w:before="60" w:after="60" w:line="276" w:lineRule="auto"/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governance della trasformazione digitale è presidiata dal Delegato del Rettore all'Innovazione Digitale. </w:t>
      </w:r>
    </w:p>
    <w:p w14:paraId="6B99E4DE" w14:textId="40428A7E" w:rsidR="00AD772B" w:rsidRPr="001E4CAD" w:rsidRDefault="00000000">
      <w:pPr>
        <w:spacing w:before="60" w:after="60" w:line="276" w:lineRule="auto"/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 principali cantieri attivi nel triennio 2026–2028, anche in continuità e sviluppo rispetto alle attività avviate nel ciclo precedente (2025-2027), sono:</w:t>
      </w:r>
    </w:p>
    <w:p w14:paraId="09EE0141" w14:textId="77777777" w:rsidR="00AD772B" w:rsidRPr="001E4CAD" w:rsidRDefault="00000000">
      <w:pPr>
        <w:pStyle w:val="Paragrafoelenco"/>
        <w:numPr>
          <w:ilvl w:val="0"/>
          <w:numId w:val="5"/>
        </w:numPr>
        <w:spacing w:before="40" w:after="40" w:line="276" w:lineRule="auto"/>
        <w:jc w:val="both"/>
        <w:rPr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TC-Sign (Libro Firma Digitale – Direzione V): </w:t>
      </w:r>
      <w:r>
        <w:rPr>
          <w:rFonts w:ascii="Arial" w:hAnsi="Arial" w:cs="Arial"/>
          <w:sz w:val="24"/>
          <w:szCs w:val="24"/>
        </w:rPr>
        <w:t>soluzione sviluppata internamente per la dematerializzazione completa del flusso documentale. Rispetto alla fase 2025, l'estensione a tutte le strutture di Ateneo è stata completata. Il sistema abilita la conformità piena al CAD (Codice dell'Amministrazione Digitale) e alle Linee Guida AGID.</w:t>
      </w:r>
    </w:p>
    <w:p w14:paraId="0AB2BD9C" w14:textId="77777777" w:rsidR="00AD772B" w:rsidRPr="001E4CAD" w:rsidRDefault="00000000">
      <w:pPr>
        <w:pStyle w:val="Paragrafoelenco"/>
        <w:numPr>
          <w:ilvl w:val="0"/>
          <w:numId w:val="5"/>
        </w:numPr>
        <w:spacing w:before="40" w:after="40" w:line="276" w:lineRule="auto"/>
        <w:jc w:val="both"/>
        <w:rPr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Progetto Anagrafica UNICA: </w:t>
      </w:r>
      <w:r>
        <w:rPr>
          <w:rFonts w:ascii="Arial" w:hAnsi="Arial" w:cs="Arial"/>
          <w:sz w:val="24"/>
          <w:szCs w:val="24"/>
        </w:rPr>
        <w:t>armonizzazione delle banche dati di personale, corsi di laurea e schede insegnamento. Fonte dati ufficiale: GOMP. Obiettivi: eliminare duplicazioni, alimentare i siti web delle strutture via plugin/webservices, integrare Catalogo Corsi e Gestione Aule e Orari.</w:t>
      </w:r>
    </w:p>
    <w:p w14:paraId="0620B67C" w14:textId="77777777" w:rsidR="00AD772B" w:rsidRPr="001E4CAD" w:rsidRDefault="00000000">
      <w:pPr>
        <w:pStyle w:val="Paragrafoelenco"/>
        <w:numPr>
          <w:ilvl w:val="0"/>
          <w:numId w:val="5"/>
        </w:numPr>
        <w:spacing w:before="40" w:after="40" w:line="276" w:lineRule="auto"/>
        <w:jc w:val="both"/>
        <w:rPr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Protocollo Digitale Titulus: </w:t>
      </w:r>
      <w:r>
        <w:rPr>
          <w:rFonts w:ascii="Arial" w:hAnsi="Arial" w:cs="Arial"/>
          <w:sz w:val="24"/>
          <w:szCs w:val="24"/>
        </w:rPr>
        <w:t>già operativo per la trasmissione digitale dei documenti; integrazione con TC-Sign per la creazione digitale nativa dei fascicoli.</w:t>
      </w:r>
    </w:p>
    <w:p w14:paraId="300557FD" w14:textId="77777777" w:rsidR="00AD772B" w:rsidRPr="001E4CAD" w:rsidRDefault="00000000">
      <w:pPr>
        <w:pStyle w:val="Paragrafoelenco"/>
        <w:numPr>
          <w:ilvl w:val="0"/>
          <w:numId w:val="5"/>
        </w:numPr>
        <w:spacing w:before="40" w:after="40" w:line="276" w:lineRule="auto"/>
        <w:jc w:val="both"/>
        <w:rPr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Reingegnerizzazione Organi Collegiali: </w:t>
      </w:r>
      <w:r>
        <w:rPr>
          <w:rFonts w:ascii="Arial" w:hAnsi="Arial" w:cs="Arial"/>
          <w:sz w:val="24"/>
          <w:szCs w:val="24"/>
        </w:rPr>
        <w:t>dematerializzazione completa delle procedure di gestione degli organi accademici.</w:t>
      </w:r>
    </w:p>
    <w:p w14:paraId="580D4D71" w14:textId="77777777" w:rsidR="00AD772B" w:rsidRPr="001E4CAD" w:rsidRDefault="00000000">
      <w:pPr>
        <w:pStyle w:val="Paragrafoelenco"/>
        <w:numPr>
          <w:ilvl w:val="0"/>
          <w:numId w:val="5"/>
        </w:numPr>
        <w:spacing w:before="40" w:after="40" w:line="276" w:lineRule="auto"/>
        <w:jc w:val="both"/>
        <w:rPr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Dematerializzazione valutazioni docenti: </w:t>
      </w:r>
      <w:r>
        <w:rPr>
          <w:rFonts w:ascii="Arial" w:hAnsi="Arial" w:cs="Arial"/>
          <w:sz w:val="24"/>
          <w:szCs w:val="24"/>
        </w:rPr>
        <w:t>digitalizzazione delle procedure per gli scatti biennali.</w:t>
      </w:r>
    </w:p>
    <w:p w14:paraId="1160BB4D" w14:textId="77777777" w:rsidR="00AD772B" w:rsidRPr="001E4CAD" w:rsidRDefault="00000000">
      <w:pPr>
        <w:pStyle w:val="Paragrafoelenco"/>
        <w:numPr>
          <w:ilvl w:val="0"/>
          <w:numId w:val="5"/>
        </w:numPr>
        <w:spacing w:before="40" w:after="40" w:line="276" w:lineRule="auto"/>
        <w:jc w:val="both"/>
        <w:rPr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Accessibilità digitale: </w:t>
      </w:r>
      <w:r>
        <w:rPr>
          <w:rFonts w:ascii="Arial" w:hAnsi="Arial" w:cs="Arial"/>
          <w:sz w:val="24"/>
          <w:szCs w:val="24"/>
        </w:rPr>
        <w:t>programma pluriennale AGID per la conformità di siti web istituzionali, app e intranet. Coordinamento tra RTD (Responsabile Transizione Digitale), Area Biblioteche e Area del Personale.</w:t>
      </w:r>
    </w:p>
    <w:p w14:paraId="1ED9B683" w14:textId="77777777" w:rsidR="00AD772B" w:rsidRDefault="00000000" w:rsidP="001E4CAD">
      <w:pPr>
        <w:pStyle w:val="Titolo1"/>
      </w:pPr>
      <w:bookmarkStart w:id="14" w:name="_Toc233036759"/>
      <w:r>
        <w:t>9.  PNRR e Sviluppo Infrastrutturale</w:t>
      </w:r>
      <w:bookmarkEnd w:id="14"/>
    </w:p>
    <w:p w14:paraId="18AA7251" w14:textId="77777777" w:rsidR="00F63118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L'Ateneo è coinvolto in modo significativo nell'ecosistema PNRR, con interventi che coprono le Missioni 1 (Digitalizzazione e Innovazione), 2 (Rivoluzione Verde), 4 (Istruzione e Ricerca) e 5 (Inclusione e Coesione). </w:t>
      </w:r>
    </w:p>
    <w:p w14:paraId="213B9336" w14:textId="1F444226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PIAO garantisce la coerenza tra gli obiettivi di Ateneo e le azioni PNRR, supportando la rendicontazione e il monitoraggio degli investimenti.</w:t>
      </w:r>
    </w:p>
    <w:p w14:paraId="058B4D5F" w14:textId="77777777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Sul piano infrastrutturale, il Piano di Sviluppo Edilizio in corso prevede: la costruzione del Polo Didattico di Giurisprudenza, il Polo Didattico di Medicina presso il PTV e il Centro Sportivo Polivalente (completamento atteso 2026–2027). Sono in corso anche interventi di infrastruttura di rete per 150.000€ (2026), a supporto della copertura Wi-Fi e della continuità operativa dei sistemi informativi d'Ateneo.</w:t>
      </w:r>
    </w:p>
    <w:p w14:paraId="4C23E551" w14:textId="77777777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potenziamento dell'Auditorium "Ennio Morricone" e l'allestimento dei nuovi studi multimediali (Tor Vergata Studios – Multimedia Lab), finanziati con fondi DM n. 737/2021, completano il quadro delle infrastrutture di ricerca condivise tra le Macroaree, in linea con la vocazione multidisciplinare e la promozione della terza missione.</w:t>
      </w:r>
    </w:p>
    <w:p w14:paraId="4B51FFE0" w14:textId="77777777" w:rsidR="00AD772B" w:rsidRDefault="00000000" w:rsidP="001E4CAD">
      <w:pPr>
        <w:pStyle w:val="Titolo1"/>
      </w:pPr>
      <w:bookmarkStart w:id="15" w:name="_Toc233036760"/>
      <w:r>
        <w:t>10.  Parità di Genere, SDGs e Bilancio di Genere</w:t>
      </w:r>
      <w:bookmarkEnd w:id="15"/>
    </w:p>
    <w:p w14:paraId="648694A2" w14:textId="77777777" w:rsidR="00F63118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partire dal 2020, l'Ateneo ha introdotto il Bilancio di Genere come strumento di programmazione e rendicontazione integrato nel ciclo di bilancio. </w:t>
      </w:r>
    </w:p>
    <w:p w14:paraId="23D2169C" w14:textId="5DF03DFA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Gender Budgeting riclassifica i costi del Bilancio Unico in tre categorie: costi non connessi al genere, costi sensibili al genere, costi direttamente mirati alla riduzione delle </w:t>
      </w:r>
      <w:r>
        <w:rPr>
          <w:rFonts w:ascii="Arial" w:hAnsi="Arial" w:cs="Arial"/>
          <w:sz w:val="24"/>
          <w:szCs w:val="24"/>
        </w:rPr>
        <w:lastRenderedPageBreak/>
        <w:t>disparità. Il budget 2026 complessivo allocato per azioni di equità di genere e pari opportunità è pari a circa 412.000€ (risorse proprie).</w:t>
      </w:r>
    </w:p>
    <w:p w14:paraId="3057C035" w14:textId="77777777" w:rsidR="00F63118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 principali iniziative di parità di genere nel triennio includono: premi di laurea "Giulia Cecchettin" (18.000€/anno), premi di dottorato "Rosalind Franklin" (4.000€/anno), sportello FIRST POINT, progetto Stork Parking Places, orientamento alle STEM, ampliamento biblioteca equi-libri, incarico di ricerca per studi di genere, realizzazione bagni gender-neutral nelle Macroaree. </w:t>
      </w:r>
    </w:p>
    <w:p w14:paraId="4DBA172B" w14:textId="1A00EB83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L'integrazione degli SDGs nel Bilancio Preventivo (attiva dal 2025) associa ogni voce di costo all'Obiettivo di Sviluppo Sostenibile di riferimento, con priorità agli SDG 4 (Istruzione di qualità), SDG 12 (Consumo e produzione responsabile) e SDG 8 (Lavoro dignitoso e crescita economica).</w:t>
      </w:r>
    </w:p>
    <w:p w14:paraId="611A9162" w14:textId="47E0134C" w:rsidR="00AD772B" w:rsidRDefault="00000000" w:rsidP="001E4CAD">
      <w:pPr>
        <w:pStyle w:val="Titolo1"/>
      </w:pPr>
      <w:bookmarkStart w:id="16" w:name="_Toc233036761"/>
      <w:r>
        <w:t>11.  Sistema di Monitoraggio e Riesame</w:t>
      </w:r>
      <w:bookmarkEnd w:id="16"/>
    </w:p>
    <w:p w14:paraId="7155A2C5" w14:textId="77777777" w:rsidR="00B33C5E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sistema di monitoraggio del PIAO prevede cicli strutturati di verifica a livello strategico e operativo. </w:t>
      </w:r>
    </w:p>
    <w:p w14:paraId="00DF7D83" w14:textId="77777777" w:rsidR="00F63118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monitoraggio degli indicatori della BSC (Balanced Scorecard) d'Ateneo è effettuato tramite la piattaforma GZOOM. </w:t>
      </w:r>
    </w:p>
    <w:p w14:paraId="534843ED" w14:textId="31756CE6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dati di performance 2024 sono disponibili; i dati 2025 saranno resi disponibili entro il 30 giugno 2026 per la predisposizione della Relazione sulla Performance.</w:t>
      </w:r>
    </w:p>
    <w:p w14:paraId="35C9715B" w14:textId="77777777" w:rsidR="00F63118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Riesame del Sistema di Governo (Allegato tecnico n°1 al PIAO) costituisce il documento di formalizzazione organica delle attività di revisione critica dell'assetto istituzionale, organizzativo e dei processi di governance, condotto in risposta alle risultanze della visita di accreditamento periodico ANVUR 2018, della riorganizzazione dell'amministrazione e delle osservazioni del Nucleo di Valutazione (NdV). </w:t>
      </w:r>
    </w:p>
    <w:p w14:paraId="1662C772" w14:textId="18DEC8C8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L'indagine di clima organizzativo, avviata a fine 2025, produrrà dati di input per il prossimo ciclo di Riesame del Sistema di Governo e AQ, con risultati attesi per il 2026.</w:t>
      </w:r>
    </w:p>
    <w:p w14:paraId="668A2CEA" w14:textId="77777777" w:rsidR="00AD772B" w:rsidRPr="001E4CAD" w:rsidRDefault="00000000">
      <w:pPr>
        <w:spacing w:before="60"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sistema COAN (Contabilità Analitica) e il Manuale del Controllo di Gestione – attualmente in fase di completamento – saranno portati a pieno regime entro 2026-2027, con integrazione stabile nel ciclo della performance e nella pianificazione triennale.</w:t>
      </w:r>
    </w:p>
    <w:sectPr w:rsidR="00AD772B" w:rsidRPr="001E4CAD">
      <w:headerReference w:type="default" r:id="rId9"/>
      <w:footerReference w:type="default" r:id="rId10"/>
      <w:pgSz w:w="11906" w:h="16838"/>
      <w:pgMar w:top="1200" w:right="1200" w:bottom="120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F349B1C" w14:textId="77777777" w:rsidR="005665B7" w:rsidRDefault="005665B7">
      <w:r>
        <w:separator/>
      </w:r>
    </w:p>
  </w:endnote>
  <w:endnote w:type="continuationSeparator" w:id="0">
    <w:p w14:paraId="6F9323FF" w14:textId="77777777" w:rsidR="005665B7" w:rsidRDefault="00566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irce">
    <w:altName w:val="Cambria"/>
    <w:panose1 w:val="020B0604020202020204"/>
    <w:charset w:val="00"/>
    <w:family w:val="swiss"/>
    <w:notTrueType/>
    <w:pitch w:val="variable"/>
    <w:sig w:usb0="00000001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/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0F7A148" w14:textId="77777777" w:rsidR="005665B7" w:rsidRDefault="005665B7">
      <w:r>
        <w:separator/>
      </w:r>
    </w:p>
  </w:footnote>
  <w:footnote w:type="continuationSeparator" w:id="0">
    <w:p w14:paraId="0CD793AD" w14:textId="77777777" w:rsidR="005665B7" w:rsidRDefault="00566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/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0C57BC"/>
    <w:multiLevelType w:val="hybridMultilevel"/>
    <w:tmpl w:val="1A6035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72EC3"/>
    <w:multiLevelType w:val="hybridMultilevel"/>
    <w:tmpl w:val="35E4E3FA"/>
    <w:lvl w:ilvl="0" w:tplc="91BC6BB2">
      <w:start w:val="1"/>
      <w:numFmt w:val="bullet"/>
      <w:lvlText w:val="•"/>
      <w:lvlJc w:val="left"/>
      <w:pPr>
        <w:ind w:left="720" w:hanging="360"/>
      </w:pPr>
    </w:lvl>
    <w:lvl w:ilvl="1" w:tplc="F7344266">
      <w:numFmt w:val="decimal"/>
      <w:lvlText w:val=""/>
      <w:lvlJc w:val="left"/>
    </w:lvl>
    <w:lvl w:ilvl="2" w:tplc="AB80F362">
      <w:numFmt w:val="decimal"/>
      <w:lvlText w:val=""/>
      <w:lvlJc w:val="left"/>
    </w:lvl>
    <w:lvl w:ilvl="3" w:tplc="8F3C721A">
      <w:numFmt w:val="decimal"/>
      <w:lvlText w:val=""/>
      <w:lvlJc w:val="left"/>
    </w:lvl>
    <w:lvl w:ilvl="4" w:tplc="CC00B96E">
      <w:numFmt w:val="decimal"/>
      <w:lvlText w:val=""/>
      <w:lvlJc w:val="left"/>
    </w:lvl>
    <w:lvl w:ilvl="5" w:tplc="64B04BAE">
      <w:numFmt w:val="decimal"/>
      <w:lvlText w:val=""/>
      <w:lvlJc w:val="left"/>
    </w:lvl>
    <w:lvl w:ilvl="6" w:tplc="B17A3A74">
      <w:numFmt w:val="decimal"/>
      <w:lvlText w:val=""/>
      <w:lvlJc w:val="left"/>
    </w:lvl>
    <w:lvl w:ilvl="7" w:tplc="E188C962">
      <w:numFmt w:val="decimal"/>
      <w:lvlText w:val=""/>
      <w:lvlJc w:val="left"/>
    </w:lvl>
    <w:lvl w:ilvl="8" w:tplc="702CA232">
      <w:numFmt w:val="decimal"/>
      <w:lvlText w:val=""/>
      <w:lvlJc w:val="left"/>
    </w:lvl>
  </w:abstractNum>
  <w:abstractNum w:abstractNumId="2" w15:restartNumberingAfterBreak="0">
    <w:nsid w:val="1DFD2295"/>
    <w:multiLevelType w:val="hybridMultilevel"/>
    <w:tmpl w:val="AAE80B80"/>
    <w:lvl w:ilvl="0" w:tplc="A72A8786">
      <w:start w:val="1"/>
      <w:numFmt w:val="bullet"/>
      <w:lvlText w:val="⇒"/>
      <w:lvlJc w:val="left"/>
      <w:pPr>
        <w:ind w:left="600" w:hanging="300"/>
      </w:pPr>
      <w:rPr>
        <w:color w:val="FFFFFF"/>
      </w:rPr>
    </w:lvl>
    <w:lvl w:ilvl="1" w:tplc="A4C23864">
      <w:numFmt w:val="decimal"/>
      <w:lvlText w:val=""/>
      <w:lvlJc w:val="left"/>
    </w:lvl>
    <w:lvl w:ilvl="2" w:tplc="DDB88C16">
      <w:numFmt w:val="decimal"/>
      <w:lvlText w:val=""/>
      <w:lvlJc w:val="left"/>
    </w:lvl>
    <w:lvl w:ilvl="3" w:tplc="C9CE8B6C">
      <w:numFmt w:val="decimal"/>
      <w:lvlText w:val=""/>
      <w:lvlJc w:val="left"/>
    </w:lvl>
    <w:lvl w:ilvl="4" w:tplc="1ED43694">
      <w:numFmt w:val="decimal"/>
      <w:lvlText w:val=""/>
      <w:lvlJc w:val="left"/>
    </w:lvl>
    <w:lvl w:ilvl="5" w:tplc="47F031BC">
      <w:numFmt w:val="decimal"/>
      <w:lvlText w:val=""/>
      <w:lvlJc w:val="left"/>
    </w:lvl>
    <w:lvl w:ilvl="6" w:tplc="4BAC7D6C">
      <w:numFmt w:val="decimal"/>
      <w:lvlText w:val=""/>
      <w:lvlJc w:val="left"/>
    </w:lvl>
    <w:lvl w:ilvl="7" w:tplc="1B6A2452">
      <w:numFmt w:val="decimal"/>
      <w:lvlText w:val=""/>
      <w:lvlJc w:val="left"/>
    </w:lvl>
    <w:lvl w:ilvl="8" w:tplc="C02C039E">
      <w:numFmt w:val="decimal"/>
      <w:lvlText w:val=""/>
      <w:lvlJc w:val="left"/>
    </w:lvl>
  </w:abstractNum>
  <w:abstractNum w:abstractNumId="3" w15:restartNumberingAfterBreak="0">
    <w:nsid w:val="422D7D1E"/>
    <w:multiLevelType w:val="hybridMultilevel"/>
    <w:tmpl w:val="561CD0BA"/>
    <w:lvl w:ilvl="0" w:tplc="0E54F1F4">
      <w:start w:val="1"/>
      <w:numFmt w:val="bullet"/>
      <w:lvlText w:val="•"/>
      <w:lvlJc w:val="left"/>
      <w:pPr>
        <w:ind w:left="720" w:hanging="360"/>
      </w:pPr>
    </w:lvl>
    <w:lvl w:ilvl="1" w:tplc="C3B48A16">
      <w:numFmt w:val="decimal"/>
      <w:lvlText w:val=""/>
      <w:lvlJc w:val="left"/>
    </w:lvl>
    <w:lvl w:ilvl="2" w:tplc="E098B0B0">
      <w:numFmt w:val="decimal"/>
      <w:lvlText w:val=""/>
      <w:lvlJc w:val="left"/>
    </w:lvl>
    <w:lvl w:ilvl="3" w:tplc="BFEEB3EE">
      <w:numFmt w:val="decimal"/>
      <w:lvlText w:val=""/>
      <w:lvlJc w:val="left"/>
    </w:lvl>
    <w:lvl w:ilvl="4" w:tplc="445E4606">
      <w:numFmt w:val="decimal"/>
      <w:lvlText w:val=""/>
      <w:lvlJc w:val="left"/>
    </w:lvl>
    <w:lvl w:ilvl="5" w:tplc="AC689CBA">
      <w:numFmt w:val="decimal"/>
      <w:lvlText w:val=""/>
      <w:lvlJc w:val="left"/>
    </w:lvl>
    <w:lvl w:ilvl="6" w:tplc="FF8C5D08">
      <w:numFmt w:val="decimal"/>
      <w:lvlText w:val=""/>
      <w:lvlJc w:val="left"/>
    </w:lvl>
    <w:lvl w:ilvl="7" w:tplc="639A6A0A">
      <w:numFmt w:val="decimal"/>
      <w:lvlText w:val=""/>
      <w:lvlJc w:val="left"/>
    </w:lvl>
    <w:lvl w:ilvl="8" w:tplc="76D2EDE8">
      <w:numFmt w:val="decimal"/>
      <w:lvlText w:val=""/>
      <w:lvlJc w:val="left"/>
    </w:lvl>
  </w:abstractNum>
  <w:abstractNum w:abstractNumId="4" w15:restartNumberingAfterBreak="0">
    <w:nsid w:val="673F29EF"/>
    <w:multiLevelType w:val="hybridMultilevel"/>
    <w:tmpl w:val="E7C4D062"/>
    <w:lvl w:ilvl="0" w:tplc="E446EB24">
      <w:start w:val="1"/>
      <w:numFmt w:val="bullet"/>
      <w:lvlText w:val="•"/>
      <w:lvlJc w:val="left"/>
      <w:pPr>
        <w:ind w:left="600" w:hanging="300"/>
      </w:pPr>
    </w:lvl>
    <w:lvl w:ilvl="1" w:tplc="4F5CE2F4">
      <w:numFmt w:val="decimal"/>
      <w:lvlText w:val=""/>
      <w:lvlJc w:val="left"/>
    </w:lvl>
    <w:lvl w:ilvl="2" w:tplc="53901E4A">
      <w:numFmt w:val="decimal"/>
      <w:lvlText w:val=""/>
      <w:lvlJc w:val="left"/>
    </w:lvl>
    <w:lvl w:ilvl="3" w:tplc="481831F4">
      <w:numFmt w:val="decimal"/>
      <w:lvlText w:val=""/>
      <w:lvlJc w:val="left"/>
    </w:lvl>
    <w:lvl w:ilvl="4" w:tplc="E1DA01CE">
      <w:numFmt w:val="decimal"/>
      <w:lvlText w:val=""/>
      <w:lvlJc w:val="left"/>
    </w:lvl>
    <w:lvl w:ilvl="5" w:tplc="BE820EA6">
      <w:numFmt w:val="decimal"/>
      <w:lvlText w:val=""/>
      <w:lvlJc w:val="left"/>
    </w:lvl>
    <w:lvl w:ilvl="6" w:tplc="72DCE496">
      <w:numFmt w:val="decimal"/>
      <w:lvlText w:val=""/>
      <w:lvlJc w:val="left"/>
    </w:lvl>
    <w:lvl w:ilvl="7" w:tplc="E3B2B74E">
      <w:numFmt w:val="decimal"/>
      <w:lvlText w:val=""/>
      <w:lvlJc w:val="left"/>
    </w:lvl>
    <w:lvl w:ilvl="8" w:tplc="B5400BD8">
      <w:numFmt w:val="decimal"/>
      <w:lvlText w:val=""/>
      <w:lvlJc w:val="left"/>
    </w:lvl>
  </w:abstractNum>
  <w:abstractNum w:abstractNumId="5" w15:restartNumberingAfterBreak="0">
    <w:nsid w:val="727E2B48"/>
    <w:multiLevelType w:val="hybridMultilevel"/>
    <w:tmpl w:val="22AC9FCE"/>
    <w:lvl w:ilvl="0" w:tplc="42FE5780">
      <w:start w:val="1"/>
      <w:numFmt w:val="bullet"/>
      <w:lvlText w:val="⇒"/>
      <w:lvlJc w:val="left"/>
      <w:pPr>
        <w:ind w:left="600" w:hanging="300"/>
      </w:pPr>
    </w:lvl>
    <w:lvl w:ilvl="1" w:tplc="4E86DB90">
      <w:numFmt w:val="decimal"/>
      <w:lvlText w:val=""/>
      <w:lvlJc w:val="left"/>
    </w:lvl>
    <w:lvl w:ilvl="2" w:tplc="BC0CCB86">
      <w:numFmt w:val="decimal"/>
      <w:lvlText w:val=""/>
      <w:lvlJc w:val="left"/>
    </w:lvl>
    <w:lvl w:ilvl="3" w:tplc="4BAC6D42">
      <w:numFmt w:val="decimal"/>
      <w:lvlText w:val=""/>
      <w:lvlJc w:val="left"/>
    </w:lvl>
    <w:lvl w:ilvl="4" w:tplc="18CCA274">
      <w:numFmt w:val="decimal"/>
      <w:lvlText w:val=""/>
      <w:lvlJc w:val="left"/>
    </w:lvl>
    <w:lvl w:ilvl="5" w:tplc="BF9A26A6">
      <w:numFmt w:val="decimal"/>
      <w:lvlText w:val=""/>
      <w:lvlJc w:val="left"/>
    </w:lvl>
    <w:lvl w:ilvl="6" w:tplc="06AE888C">
      <w:numFmt w:val="decimal"/>
      <w:lvlText w:val=""/>
      <w:lvlJc w:val="left"/>
    </w:lvl>
    <w:lvl w:ilvl="7" w:tplc="05063144">
      <w:numFmt w:val="decimal"/>
      <w:lvlText w:val=""/>
      <w:lvlJc w:val="left"/>
    </w:lvl>
    <w:lvl w:ilvl="8" w:tplc="7FD81A9C">
      <w:numFmt w:val="decimal"/>
      <w:lvlText w:val=""/>
      <w:lvlJc w:val="left"/>
    </w:lvl>
  </w:abstractNum>
  <w:abstractNum w:abstractNumId="6" w15:restartNumberingAfterBreak="0">
    <w:nsid w:val="7A682829"/>
    <w:multiLevelType w:val="hybridMultilevel"/>
    <w:tmpl w:val="DF6A9F04"/>
    <w:lvl w:ilvl="0" w:tplc="CC1E538A">
      <w:start w:val="1"/>
      <w:numFmt w:val="bullet"/>
      <w:lvlText w:val="●"/>
      <w:lvlJc w:val="left"/>
      <w:pPr>
        <w:ind w:left="720" w:hanging="360"/>
      </w:pPr>
    </w:lvl>
    <w:lvl w:ilvl="1" w:tplc="6E68165C">
      <w:start w:val="1"/>
      <w:numFmt w:val="bullet"/>
      <w:lvlText w:val="○"/>
      <w:lvlJc w:val="left"/>
      <w:pPr>
        <w:ind w:left="1440" w:hanging="360"/>
      </w:pPr>
    </w:lvl>
    <w:lvl w:ilvl="2" w:tplc="1E5AD714">
      <w:start w:val="1"/>
      <w:numFmt w:val="bullet"/>
      <w:lvlText w:val="■"/>
      <w:lvlJc w:val="left"/>
      <w:pPr>
        <w:ind w:left="2160" w:hanging="360"/>
      </w:pPr>
    </w:lvl>
    <w:lvl w:ilvl="3" w:tplc="DCB49D9E">
      <w:start w:val="1"/>
      <w:numFmt w:val="bullet"/>
      <w:lvlText w:val="●"/>
      <w:lvlJc w:val="left"/>
      <w:pPr>
        <w:ind w:left="2880" w:hanging="360"/>
      </w:pPr>
    </w:lvl>
    <w:lvl w:ilvl="4" w:tplc="1CFC666E">
      <w:start w:val="1"/>
      <w:numFmt w:val="bullet"/>
      <w:lvlText w:val="○"/>
      <w:lvlJc w:val="left"/>
      <w:pPr>
        <w:ind w:left="3600" w:hanging="360"/>
      </w:pPr>
    </w:lvl>
    <w:lvl w:ilvl="5" w:tplc="F0488C4E">
      <w:start w:val="1"/>
      <w:numFmt w:val="bullet"/>
      <w:lvlText w:val="■"/>
      <w:lvlJc w:val="left"/>
      <w:pPr>
        <w:ind w:left="4320" w:hanging="360"/>
      </w:pPr>
    </w:lvl>
    <w:lvl w:ilvl="6" w:tplc="319A5536">
      <w:start w:val="1"/>
      <w:numFmt w:val="bullet"/>
      <w:lvlText w:val="●"/>
      <w:lvlJc w:val="left"/>
      <w:pPr>
        <w:ind w:left="5040" w:hanging="360"/>
      </w:pPr>
    </w:lvl>
    <w:lvl w:ilvl="7" w:tplc="5726D608">
      <w:start w:val="1"/>
      <w:numFmt w:val="bullet"/>
      <w:lvlText w:val="●"/>
      <w:lvlJc w:val="left"/>
      <w:pPr>
        <w:ind w:left="5760" w:hanging="360"/>
      </w:pPr>
    </w:lvl>
    <w:lvl w:ilvl="8" w:tplc="71321F88">
      <w:start w:val="1"/>
      <w:numFmt w:val="bullet"/>
      <w:lvlText w:val="●"/>
      <w:lvlJc w:val="left"/>
      <w:pPr>
        <w:ind w:left="6480" w:hanging="360"/>
      </w:pPr>
    </w:lvl>
  </w:abstractNum>
  <w:num w:numId="1" w16cid:durableId="291374746">
    <w:abstractNumId w:val="6"/>
    <w:lvlOverride w:ilvl="0">
      <w:startOverride w:val="1"/>
    </w:lvlOverride>
  </w:num>
  <w:num w:numId="2" w16cid:durableId="198472327">
    <w:abstractNumId w:val="2"/>
    <w:lvlOverride w:ilvl="0">
      <w:startOverride w:val="1"/>
    </w:lvlOverride>
  </w:num>
  <w:num w:numId="3" w16cid:durableId="1234075304">
    <w:abstractNumId w:val="5"/>
    <w:lvlOverride w:ilvl="0">
      <w:startOverride w:val="1"/>
    </w:lvlOverride>
  </w:num>
  <w:num w:numId="4" w16cid:durableId="401011">
    <w:abstractNumId w:val="4"/>
    <w:lvlOverride w:ilvl="0">
      <w:startOverride w:val="1"/>
    </w:lvlOverride>
  </w:num>
  <w:num w:numId="5" w16cid:durableId="448278801">
    <w:abstractNumId w:val="1"/>
    <w:lvlOverride w:ilvl="0">
      <w:startOverride w:val="1"/>
    </w:lvlOverride>
  </w:num>
  <w:num w:numId="6" w16cid:durableId="182859163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displayBackgroundShape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72B"/>
    <w:rsid w:val="001A50C4"/>
    <w:rsid w:val="001E4CAD"/>
    <w:rsid w:val="00223C04"/>
    <w:rsid w:val="0028692B"/>
    <w:rsid w:val="00494289"/>
    <w:rsid w:val="005665B7"/>
    <w:rsid w:val="006439BE"/>
    <w:rsid w:val="00A71A52"/>
    <w:rsid w:val="00AD772B"/>
    <w:rsid w:val="00B33C5E"/>
    <w:rsid w:val="00B8564C"/>
    <w:rsid w:val="00DE4722"/>
    <w:rsid w:val="00E038C8"/>
    <w:rsid w:val="00F63118"/>
    <w:rsid w:val="00FC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0030C"/>
  <w15:docId w15:val="{41A6CF5B-1AC1-B24A-87AF-8C9A306AA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A50C4"/>
  </w:style>
  <w:style w:type="paragraph" w:styleId="Titolo1">
    <w:name w:val="heading 1"/>
    <w:basedOn w:val="Normale"/>
    <w:next w:val="Normale"/>
    <w:link w:val="Titolo1Carattere"/>
    <w:uiPriority w:val="9"/>
    <w:qFormat/>
    <w:rsid w:val="001A50C4"/>
    <w:pPr>
      <w:pBdr>
        <w:bottom w:val="single" w:sz="12" w:space="1" w:color="2F5496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1A50C4"/>
    <w:pPr>
      <w:pBdr>
        <w:bottom w:val="single" w:sz="8" w:space="1" w:color="4472C4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A50C4"/>
    <w:pPr>
      <w:pBdr>
        <w:bottom w:val="single" w:sz="4" w:space="1" w:color="8EAADB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A50C4"/>
    <w:pPr>
      <w:pBdr>
        <w:bottom w:val="single" w:sz="4" w:space="2" w:color="B4C6E7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472C4" w:themeColor="accent1"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A50C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472C4" w:themeColor="accent1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A50C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472C4" w:themeColor="accent1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A50C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A5A5A5" w:themeColor="accent3"/>
      <w:sz w:val="20"/>
      <w:szCs w:val="2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A50C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A5A5A5" w:themeColor="accent3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A50C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A5A5A5" w:themeColor="accent3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rsid w:val="001A50C4"/>
    <w:pPr>
      <w:pBdr>
        <w:top w:val="single" w:sz="8" w:space="10" w:color="A1B8E1" w:themeColor="accent1" w:themeTint="7F"/>
        <w:bottom w:val="single" w:sz="24" w:space="15" w:color="A5A5A5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1F3763" w:themeColor="accent1" w:themeShade="7F"/>
      <w:sz w:val="60"/>
      <w:szCs w:val="60"/>
    </w:rPr>
  </w:style>
  <w:style w:type="paragraph" w:customStyle="1" w:styleId="Enfasigrassetto1">
    <w:name w:val="Enfasi (grassetto)1"/>
    <w:basedOn w:val="Normale"/>
    <w:next w:val="Normale"/>
    <w:rPr>
      <w:b/>
      <w:bCs/>
    </w:rPr>
  </w:style>
  <w:style w:type="paragraph" w:styleId="Paragrafoelenco">
    <w:name w:val="List Paragraph"/>
    <w:basedOn w:val="Normale"/>
    <w:uiPriority w:val="34"/>
    <w:qFormat/>
    <w:rsid w:val="001A50C4"/>
    <w:pPr>
      <w:ind w:left="720"/>
      <w:contextualSpacing/>
    </w:pPr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1A50C4"/>
    <w:pPr>
      <w:outlineLvl w:val="9"/>
    </w:pPr>
  </w:style>
  <w:style w:type="paragraph" w:styleId="Sommario1">
    <w:name w:val="toc 1"/>
    <w:basedOn w:val="Normale"/>
    <w:next w:val="Normale"/>
    <w:autoRedefine/>
    <w:uiPriority w:val="39"/>
    <w:unhideWhenUsed/>
    <w:rsid w:val="001E4CAD"/>
    <w:pPr>
      <w:spacing w:before="240" w:after="120"/>
    </w:pPr>
    <w:rPr>
      <w:rFonts w:cstheme="minorHAnsi"/>
      <w:b/>
      <w:bCs/>
      <w:sz w:val="20"/>
      <w:szCs w:val="20"/>
    </w:rPr>
  </w:style>
  <w:style w:type="paragraph" w:styleId="Sommario2">
    <w:name w:val="toc 2"/>
    <w:basedOn w:val="Normale"/>
    <w:next w:val="Normale"/>
    <w:autoRedefine/>
    <w:uiPriority w:val="39"/>
    <w:unhideWhenUsed/>
    <w:rsid w:val="001E4CAD"/>
    <w:pPr>
      <w:spacing w:before="120"/>
      <w:ind w:left="220"/>
    </w:pPr>
    <w:rPr>
      <w:rFonts w:cstheme="minorHAnsi"/>
      <w:i/>
      <w:iCs/>
      <w:sz w:val="20"/>
      <w:szCs w:val="20"/>
    </w:rPr>
  </w:style>
  <w:style w:type="paragraph" w:styleId="Sommario3">
    <w:name w:val="toc 3"/>
    <w:basedOn w:val="Normale"/>
    <w:next w:val="Normale"/>
    <w:autoRedefine/>
    <w:uiPriority w:val="39"/>
    <w:semiHidden/>
    <w:unhideWhenUsed/>
    <w:rsid w:val="001E4CAD"/>
    <w:pPr>
      <w:ind w:left="440"/>
    </w:pPr>
    <w:rPr>
      <w:rFonts w:cstheme="minorHAnsi"/>
      <w:sz w:val="20"/>
      <w:szCs w:val="20"/>
    </w:rPr>
  </w:style>
  <w:style w:type="paragraph" w:styleId="Sommario4">
    <w:name w:val="toc 4"/>
    <w:basedOn w:val="Normale"/>
    <w:next w:val="Normale"/>
    <w:autoRedefine/>
    <w:uiPriority w:val="39"/>
    <w:semiHidden/>
    <w:unhideWhenUsed/>
    <w:rsid w:val="001E4CAD"/>
    <w:pPr>
      <w:ind w:left="660"/>
    </w:pPr>
    <w:rPr>
      <w:rFonts w:cstheme="minorHAnsi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semiHidden/>
    <w:unhideWhenUsed/>
    <w:rsid w:val="001E4CAD"/>
    <w:pPr>
      <w:ind w:left="880"/>
    </w:pPr>
    <w:rPr>
      <w:rFonts w:cstheme="minorHAnsi"/>
      <w:sz w:val="20"/>
      <w:szCs w:val="20"/>
    </w:rPr>
  </w:style>
  <w:style w:type="paragraph" w:styleId="Sommario6">
    <w:name w:val="toc 6"/>
    <w:basedOn w:val="Normale"/>
    <w:next w:val="Normale"/>
    <w:autoRedefine/>
    <w:uiPriority w:val="39"/>
    <w:semiHidden/>
    <w:unhideWhenUsed/>
    <w:rsid w:val="001E4CAD"/>
    <w:pPr>
      <w:ind w:left="1100"/>
    </w:pPr>
    <w:rPr>
      <w:rFonts w:cstheme="minorHAnsi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semiHidden/>
    <w:unhideWhenUsed/>
    <w:rsid w:val="001E4CAD"/>
    <w:pPr>
      <w:ind w:left="1320"/>
    </w:pPr>
    <w:rPr>
      <w:rFonts w:cstheme="minorHAnsi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semiHidden/>
    <w:unhideWhenUsed/>
    <w:rsid w:val="001E4CAD"/>
    <w:pPr>
      <w:ind w:left="1540"/>
    </w:pPr>
    <w:rPr>
      <w:rFonts w:cstheme="minorHAnsi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semiHidden/>
    <w:unhideWhenUsed/>
    <w:rsid w:val="001E4CAD"/>
    <w:pPr>
      <w:ind w:left="1760"/>
    </w:pPr>
    <w:rPr>
      <w:rFonts w:cstheme="minorHAnsi"/>
      <w:sz w:val="20"/>
      <w:szCs w:val="20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A50C4"/>
    <w:rPr>
      <w:rFonts w:asciiTheme="majorHAnsi" w:eastAsiaTheme="majorEastAsia" w:hAnsiTheme="majorHAnsi" w:cstheme="majorBidi"/>
      <w:b/>
      <w:bCs/>
      <w:color w:val="2F5496" w:themeColor="accent1" w:themeShade="BF"/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A50C4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A50C4"/>
    <w:rPr>
      <w:rFonts w:asciiTheme="majorHAnsi" w:eastAsiaTheme="majorEastAsia" w:hAnsiTheme="majorHAnsi" w:cstheme="majorBidi"/>
      <w:color w:val="4472C4" w:themeColor="accent1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A50C4"/>
    <w:rPr>
      <w:rFonts w:asciiTheme="majorHAnsi" w:eastAsiaTheme="majorEastAsia" w:hAnsiTheme="majorHAnsi" w:cstheme="majorBidi"/>
      <w:i/>
      <w:iCs/>
      <w:color w:val="4472C4" w:themeColor="accent1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A50C4"/>
    <w:rPr>
      <w:rFonts w:asciiTheme="majorHAnsi" w:eastAsiaTheme="majorEastAsia" w:hAnsiTheme="majorHAnsi" w:cstheme="majorBidi"/>
      <w:color w:val="4472C4" w:themeColor="accent1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A50C4"/>
    <w:rPr>
      <w:rFonts w:asciiTheme="majorHAnsi" w:eastAsiaTheme="majorEastAsia" w:hAnsiTheme="majorHAnsi" w:cstheme="majorBidi"/>
      <w:i/>
      <w:iCs/>
      <w:color w:val="4472C4" w:themeColor="accent1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A50C4"/>
    <w:rPr>
      <w:rFonts w:asciiTheme="majorHAnsi" w:eastAsiaTheme="majorEastAsia" w:hAnsiTheme="majorHAnsi" w:cstheme="majorBidi"/>
      <w:b/>
      <w:bCs/>
      <w:color w:val="A5A5A5" w:themeColor="accent3"/>
      <w:sz w:val="20"/>
      <w:szCs w:val="2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A50C4"/>
    <w:rPr>
      <w:rFonts w:asciiTheme="majorHAnsi" w:eastAsiaTheme="majorEastAsia" w:hAnsiTheme="majorHAnsi" w:cstheme="majorBidi"/>
      <w:b/>
      <w:bCs/>
      <w:i/>
      <w:iCs/>
      <w:color w:val="A5A5A5" w:themeColor="accent3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A50C4"/>
    <w:rPr>
      <w:rFonts w:asciiTheme="majorHAnsi" w:eastAsiaTheme="majorEastAsia" w:hAnsiTheme="majorHAnsi" w:cstheme="majorBidi"/>
      <w:i/>
      <w:iCs/>
      <w:color w:val="A5A5A5" w:themeColor="accent3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1A50C4"/>
    <w:rPr>
      <w:b/>
      <w:bCs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1A50C4"/>
    <w:rPr>
      <w:rFonts w:asciiTheme="majorHAnsi" w:eastAsiaTheme="majorEastAsia" w:hAnsiTheme="majorHAnsi" w:cstheme="majorBidi"/>
      <w:i/>
      <w:iCs/>
      <w:color w:val="1F3763" w:themeColor="accent1" w:themeShade="7F"/>
      <w:sz w:val="60"/>
      <w:szCs w:val="60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A50C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A50C4"/>
    <w:rPr>
      <w:i/>
      <w:iCs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1A50C4"/>
    <w:rPr>
      <w:b/>
      <w:bCs/>
      <w:spacing w:val="0"/>
    </w:rPr>
  </w:style>
  <w:style w:type="character" w:styleId="Enfasicorsivo">
    <w:name w:val="Emphasis"/>
    <w:uiPriority w:val="20"/>
    <w:qFormat/>
    <w:rsid w:val="001A50C4"/>
    <w:rPr>
      <w:b/>
      <w:bCs/>
      <w:i/>
      <w:iCs/>
      <w:color w:val="5A5A5A" w:themeColor="text1" w:themeTint="A5"/>
    </w:rPr>
  </w:style>
  <w:style w:type="paragraph" w:styleId="Nessunaspaziatura">
    <w:name w:val="No Spacing"/>
    <w:basedOn w:val="Normale"/>
    <w:link w:val="NessunaspaziaturaCarattere"/>
    <w:uiPriority w:val="1"/>
    <w:qFormat/>
    <w:rsid w:val="001A50C4"/>
    <w:pPr>
      <w:ind w:firstLine="0"/>
    </w:p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1A50C4"/>
  </w:style>
  <w:style w:type="paragraph" w:styleId="Citazione">
    <w:name w:val="Quote"/>
    <w:basedOn w:val="Normale"/>
    <w:next w:val="Normale"/>
    <w:link w:val="CitazioneCarattere"/>
    <w:uiPriority w:val="29"/>
    <w:qFormat/>
    <w:rsid w:val="001A50C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A50C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A50C4"/>
    <w:pPr>
      <w:pBdr>
        <w:top w:val="single" w:sz="12" w:space="10" w:color="B4C6E7" w:themeColor="accent1" w:themeTint="66"/>
        <w:left w:val="single" w:sz="36" w:space="4" w:color="4472C4" w:themeColor="accent1"/>
        <w:bottom w:val="single" w:sz="24" w:space="10" w:color="A5A5A5" w:themeColor="accent3"/>
        <w:right w:val="single" w:sz="36" w:space="4" w:color="4472C4" w:themeColor="accent1"/>
      </w:pBdr>
      <w:shd w:val="clear" w:color="auto" w:fill="4472C4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A50C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472C4" w:themeFill="accent1"/>
    </w:rPr>
  </w:style>
  <w:style w:type="character" w:styleId="Enfasidelicata">
    <w:name w:val="Subtle Emphasis"/>
    <w:uiPriority w:val="19"/>
    <w:qFormat/>
    <w:rsid w:val="001A50C4"/>
    <w:rPr>
      <w:i/>
      <w:iCs/>
      <w:color w:val="5A5A5A" w:themeColor="text1" w:themeTint="A5"/>
    </w:rPr>
  </w:style>
  <w:style w:type="character" w:styleId="Enfasiintensa">
    <w:name w:val="Intense Emphasis"/>
    <w:uiPriority w:val="21"/>
    <w:qFormat/>
    <w:rsid w:val="001A50C4"/>
    <w:rPr>
      <w:b/>
      <w:bCs/>
      <w:i/>
      <w:iCs/>
      <w:color w:val="4472C4" w:themeColor="accent1"/>
      <w:sz w:val="22"/>
      <w:szCs w:val="22"/>
    </w:rPr>
  </w:style>
  <w:style w:type="character" w:styleId="Riferimentodelicato">
    <w:name w:val="Subtle Reference"/>
    <w:uiPriority w:val="31"/>
    <w:qFormat/>
    <w:rsid w:val="001A50C4"/>
    <w:rPr>
      <w:color w:val="auto"/>
      <w:u w:val="single" w:color="A5A5A5" w:themeColor="accent3"/>
    </w:rPr>
  </w:style>
  <w:style w:type="character" w:styleId="Riferimentointenso">
    <w:name w:val="Intense Reference"/>
    <w:basedOn w:val="Carpredefinitoparagrafo"/>
    <w:uiPriority w:val="32"/>
    <w:qFormat/>
    <w:rsid w:val="001A50C4"/>
    <w:rPr>
      <w:b/>
      <w:bCs/>
      <w:color w:val="7B7B7B" w:themeColor="accent3" w:themeShade="BF"/>
      <w:u w:val="single" w:color="A5A5A5" w:themeColor="accent3"/>
    </w:rPr>
  </w:style>
  <w:style w:type="character" w:styleId="Titolodellibro">
    <w:name w:val="Book Title"/>
    <w:basedOn w:val="Carpredefinitoparagrafo"/>
    <w:uiPriority w:val="33"/>
    <w:qFormat/>
    <w:rsid w:val="001A50C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customStyle="1" w:styleId="PersonalName">
    <w:name w:val="Personal Name"/>
    <w:basedOn w:val="Titolo"/>
    <w:rsid w:val="001A50C4"/>
    <w:rPr>
      <w:b/>
      <w:caps/>
      <w:color w:val="000000"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49428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94289"/>
  </w:style>
  <w:style w:type="paragraph" w:styleId="Pidipagina">
    <w:name w:val="footer"/>
    <w:basedOn w:val="Normale"/>
    <w:link w:val="PidipaginaCarattere"/>
    <w:uiPriority w:val="99"/>
    <w:unhideWhenUsed/>
    <w:rsid w:val="0049428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42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2013 - Tema 2022">
  <a:themeElements>
    <a:clrScheme name="Office 2013 - 202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2013 - 2022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 2013 - 2022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2013 - 2022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2E7C7CF-C50C-9B46-BAC3-4F4158B6A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11</Pages>
  <Words>3449</Words>
  <Characters>19662</Characters>
  <Application>Microsoft Office Word</Application>
  <DocSecurity>0</DocSecurity>
  <Lines>163</Lines>
  <Paragraphs>46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Marco Francavilla</cp:lastModifiedBy>
  <cp:revision>7</cp:revision>
  <dcterms:created xsi:type="dcterms:W3CDTF">2026-05-03T16:33:00Z</dcterms:created>
  <dcterms:modified xsi:type="dcterms:W3CDTF">2026-06-22T14:08:00Z</dcterms:modified>
</cp:coreProperties>
</file>